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1.1 La mission porte sur la conception, le développement, la mise en service et l’accompagnement d’un site en langue française. Les livrables, les jalons et les critères de vérification figurent en annexe A. Les modalités d’exploitation et de coordination figurent en annexe B.</w:t>
      </w:r>
    </w:p>
    <w:p>
      <w:r>
        <w:t>1.2 Le corps du contrat prévaut sur les annexes en cas de contradiction. Les annexes complètent les dispositions générales lorsqu’elles en précisent les modalités sans les contredire. Toute modification du contrat exige un accord écrit des deux parties, sauf la procédure de précision du périmètre prévue à l’article 4.2.</w:t>
      </w:r>
    </w:p>
    <w:p>
      <w:pPr>
        <w:pStyle w:val="Heading2"/>
      </w:pPr>
      <w:r>
        <w:t>Article 2 Définitions</w:t>
      </w:r>
    </w:p>
    <w:p>
      <w:r>
        <w:t>2.1 « Jour ouvré » désigne un jour du lundi au vendredi, à l’exclusion des jours fériés en France métropolitaine. Les autres délais exprimés en jours sont calendaires. « Livraison » désigne la mise à disposition d’une version sur l’environnement de préproduction et l’envoi de ses accès au Client.</w:t>
      </w:r>
    </w:p>
    <w:p>
      <w:r>
        <w:t>2.2 « Recette technique » désigne la vérification des fonctions prévues en annexe A. « Recette définitive » désigne la recette technique accompagnée de la clôture des vérifications opérationnelles décrites en annexe B. La mise en production ne vaut pas, à elle seule, recette définitive.</w:t>
      </w:r>
    </w:p>
    <w:p>
      <w:r>
        <w:t>2.3 « Frais de continuité » 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p>
    <w:p>
      <w:r>
        <w:t>2.4 « Suspension formelle » désigne l’interruption du projet constatée par un écrit signé des deux parties et précisant sa date de début ainsi que sa date de fin. Les demandes d’information, périodes d’attente et indisponibilités d’un interlocuteur ne constituent pas une suspension formelle.</w:t>
      </w:r>
    </w:p>
    <w:p>
      <w:r>
        <w:br w:type="page"/>
      </w:r>
    </w:p>
    <w:p>
      <w:pPr>
        <w:pStyle w:val="Heading1"/>
      </w:pPr>
      <w:r>
        <w:t>Organisation et réalisation de la mission</w:t>
      </w:r>
    </w:p>
    <w:p>
      <w:pPr>
        <w:pStyle w:val="Heading2"/>
      </w:pPr>
      <w:r>
        <w:t>Article 3 Collaboration et calendrier</w:t>
      </w:r>
    </w:p>
    <w:p>
      <w:r>
        <w:t>3.1 Chaque partie désigne un interlocuteur habilité à centraliser les échanges et à valider les étapes qui relèvent de sa compétence. Un point de suivi hebdomadaire de trente minutes permet de vérifier les travaux réalisés, les décisions attendues et les prochaines livraisons. Les comptes rendus sont transmis par courrier électronique.</w:t>
      </w:r>
    </w:p>
    <w:p>
      <w:r>
        <w:t>3.2 Le Client fournit les textes, visuels, accès et validations nécessaires dans les délais indicatifs de l’annexe A. Le Prestataire signale sans délai les informations manquantes et leur incidence prévisible. Il conserve la trace des demandes et réponses dans le dossier partagé du projet.</w:t>
      </w:r>
    </w:p>
    <w:p>
      <w:r>
        <w:t>3.3 La date de livraison résulte du calendrier de l’annexe A. Seules les périodes de suspension formelle au sens de l’article 2.4, les avenants signés et les événements de force majeure prolongent cette date. Le planning de suivi est mis à jour à titre informatif et ne modifie pas, à lui seul, les échéances contractuelles.</w:t>
      </w:r>
    </w:p>
    <w:p>
      <w:pPr>
        <w:pStyle w:val="Heading2"/>
      </w:pPr>
      <w:r>
        <w:t>Article 4 Périmètre et ajustements</w:t>
      </w:r>
    </w:p>
    <w:p>
      <w:r>
        <w:t>4.1 Le prix comprend les livrables décrits en annexe A et deux séries de retours consolidés sur les maquettes. Le Prestataire corrige sans supplément les écarts entre ses livrables et les spécifications convenues. Toute fonctionnalité extérieure au périmètre fait normalement l’objet d’un devis complémentaire accepté avant réalisation.</w:t>
      </w:r>
    </w:p>
    <w:p>
      <w:r>
        <w:t>4.2 Le Client peut préciser par courrier électronique les besoins fonctionnels exprimés en annexe A. 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p>
    <w:p>
      <w:r>
        <w:t>4.3 Les changements expressément refusés dans ce délai font l’objet d’un arbitrage entre les parties. En l’absence d’accord, le périmètre antérieur demeure applicable. Aucun accord oral ne vaut commande supplémentaire.</w:t>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5.2 Les abonnements d’hébergement, le nom de domaine et les services tiers sont souscrits directement par le Client. Le Prestataire conseille leur configuration pour le périmètre prévu. Le Client reste responsable des décisions commerciales et des contenus éditoriaux qu’il publie, sous réserve des garanties définies à l’article 10.</w:t>
      </w:r>
    </w:p>
    <w:p>
      <w:r>
        <w:br w:type="page"/>
      </w:r>
    </w:p>
    <w:p>
      <w:pPr>
        <w:pStyle w:val="Heading1"/>
      </w:pPr>
      <w:r>
        <w:t>Livraison et conditions financières</w:t>
      </w:r>
    </w:p>
    <w:p>
      <w:pPr>
        <w:pStyle w:val="Heading2"/>
      </w:pPr>
      <w:r>
        <w:t>Article 6 Vérification et recette</w:t>
      </w:r>
    </w:p>
    <w:p>
      <w:r>
        <w:t>6.1 Le Client dispose de dix jours ouvrés après chaque livraison pour transmettre une liste consolidée des non-conformités techniques, en précisant les étapes permettant de les reproduire. À défaut de retour dans ce délai, la recette technique est acquise. Les anomalies mineures qui ne bloquent pas l’usage des fonctions prévues sont corrigées dans un délai convenu et n’empêchent pas cette recette technique.</w:t>
      </w:r>
    </w:p>
    <w:p>
      <w:r>
        <w:t>6.2 La recette définitive est constatée après accomplissement des éléments définis à l’article 2.2. Le Client transmet le procès-verbal dans les cinq jours ouvrés suivant leur accomplissement. Le Prestataire peut demander un état d’avancement des vérifications opérationnelles une fois par semaine.</w:t>
      </w:r>
    </w:p>
    <w:p>
      <w:pPr>
        <w:pStyle w:val="Heading2"/>
      </w:pPr>
      <w:r>
        <w:t>Article 7 Prix et facturation</w:t>
      </w:r>
    </w:p>
    <w:p>
      <w:r>
        <w:t>7.1 Le prix forfaitaire est de 12 000 euros hors taxes, augmenté de la TVA si elle est applicable. Il comprend la rémunération des droits et des services expressément inclus au contrat. Les frais externes préalablement approuvés par le Client sont refacturés sur justificatifs, sans majoration.</w:t>
      </w:r>
    </w:p>
    <w:p>
      <w:r>
        <w:t>7.2 Un acompte de 3 600 euros hors taxes est facturé à la signature. Le solde de 8 400 euros hors taxes est facturable uniquement à la recette définitive. Les factures sont payables par virement à trente jours de leur émission. La livraison, la recette technique et l’utilisation publique du site ne permettent pas, séparément, d’émettre la facture de solde.</w:t>
      </w:r>
    </w:p>
    <w:p>
      <w:r>
        <w:t>7.3 Toute somme facturée et échue porte les pénalités de retard légalement applicables entre professionnels ainsi que l’indemnité forfaitaire de recouvrement de 40 euros, sans préjudice des frais supplémentaires justifiés. En cas de facture échue impayée, le Prestataire peut suspendre ses travaux après une mise en demeure restée sans effet pendant quinze jours.</w:t>
      </w:r>
    </w:p>
    <w:p>
      <w:pPr>
        <w:pStyle w:val="Heading2"/>
      </w:pPr>
      <w:r>
        <w:t>Article 8 Délais et pénalités</w:t>
      </w:r>
    </w:p>
    <w:p>
      <w:r>
        <w:t>8.1 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 Elles réparent forfaitairement le préjudice de retard et ne se cumulent pas avec des dommages et intérêts portant sur ce même préjudice.</w:t>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9.1 Les outils, bibliothèques, méthodes et composants antérieurs au projet restent la propriété de leur titulaire. Le Client reçoit sur les composants antérieurs intégrés au site une licence non exclusive permettant l’utilisation, la maintenance et la modification du site, pour le monde entier et la durée légale des droits. Les composants tiers restent soumis à leurs licences, dont la liste est remise avec le code.</w:t>
      </w:r>
    </w:p>
    <w:p>
      <w:r>
        <w:t>9.2 Sur les créations originales spécifiquement réalisées pour ce projet, le Prestataire cède à titre exclusif les droits de reproduction, de représentation et d’adaptation, pour l’exploitation et la promotion du site institutionnel du Client, sur supports numériques et imprimés, pour le monde entier et la durée légale de protection. Le droit d’adaptation comprend la maintenance et les modifications confiées à un tiers. Les droits moraux demeurent réservés.</w:t>
      </w:r>
    </w:p>
    <w:p>
      <w:r>
        <w:t>9.3 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p>
    <w:p>
      <w:pPr>
        <w:pStyle w:val="Heading2"/>
      </w:pPr>
      <w:r>
        <w:t>Article 10 Contenus fournis et droits des tiers</w:t>
      </w:r>
    </w:p>
    <w:p>
      <w:r>
        <w:t>10.1 Le Client sélectionne les marques, textes, photographies et autres éléments à intégrer au site et transmet les autorisations dont il dispose. Le Prestataire vérifie la compatibilité technique des formats et signale les restrictions de licence portées à sa connaissance.</w:t>
      </w:r>
    </w:p>
    <w:p>
      <w:r>
        <w:t>10.2 Afin de simplifier le traitement des réclamations, 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 Le Client informe rapidement le Prestataire de toute réclamation et lui permet de participer à la défense.</w:t>
      </w:r>
    </w:p>
    <w:p>
      <w:pPr>
        <w:pStyle w:val="Heading2"/>
      </w:pPr>
      <w:r>
        <w:t>Article 11 Confidentialité et données</w:t>
      </w:r>
    </w:p>
    <w:p>
      <w:r>
        <w:t>11.1 Chaque partie protège les informations non publiques reçues de l’autre pendant le contrat et pendant trois ans après sa fin. Ne sont pas concernées les informations déjà publiques, obtenues licitement d’un tiers ou dont la communication est imposée par la loi. Une communication obligatoire est limitée aux éléments nécessaires.</w:t>
      </w:r>
    </w:p>
    <w:p>
      <w:r>
        <w:t>11.2 La mission n’inclut ni reprise d’une base de contacts ni accès aux données réelles des prospects. Le Client administre lui-même les messages du formulaire après déploiement. Si une intervention nécessite un traitement de données personnelles pour son compte, les parties définissent préalablement par écrit les instructions, accès et mesures de sécurité nécessaires, conformément à la réglementation applicable.</w:t>
      </w:r>
    </w:p>
    <w:p>
      <w:r>
        <w:br w:type="page"/>
      </w:r>
    </w:p>
    <w:p>
      <w:pPr>
        <w:pStyle w:val="Heading1"/>
      </w:pPr>
      <w:r>
        <w:t>Responsabilité et fin de mission</w:t>
      </w:r>
    </w:p>
    <w:p>
      <w:pPr>
        <w:pStyle w:val="Heading2"/>
      </w:pPr>
      <w:r>
        <w:t>Article 12 Responsabilité</w:t>
      </w:r>
    </w:p>
    <w:p>
      <w:r>
        <w:t>12.1 Sous réserve des règles impératives, de la faute lourde ou dolosive et des dommages corporels, le montant cumulé des dommages et intérêts dus par le Prestataire au titre du contrat est limité à 12 000 euros. Les pertes de chance commerciales et pertes de bénéfices indirectes sont exclues. Les pénalités de l’article 8 sont régies exclusivement par cet article.</w:t>
      </w:r>
    </w:p>
    <w:p>
      <w:r>
        <w:t>12.2 Les obligations de remboursement ne constituent pas des dommages et intérêts pour l’application du présent article. Les frais de continuité définis à l’article 2.3 et mis en œuvre selon l’annexe B sont réglés séparément. Les indemnités de garantie de l’article 10.2 sont, en revanche, comprises dans le plafond de l’article 12.1.</w:t>
      </w:r>
    </w:p>
    <w:p>
      <w:r>
        <w:t>12.3 Chaque partie conserve les justificatifs utiles à l’établissement de ses préjudices. Elle prend les mesures raisonnables permettant d’éviter leur aggravation. Le Prestataire maintient une assurance de responsabilité civile professionnelle adaptée à son activité et en fournit une attestation sur demande.</w:t>
      </w:r>
    </w:p>
    <w:p>
      <w:pPr>
        <w:pStyle w:val="Heading2"/>
      </w:pPr>
      <w:r>
        <w:t>Article 13 Disponibilité commerciale</w:t>
      </w:r>
    </w:p>
    <w:p>
      <w:r>
        <w:t>13.1 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p>
    <w:p>
      <w:pPr>
        <w:pStyle w:val="Heading2"/>
      </w:pPr>
      <w:r>
        <w:t>Article 14 Durée et résiliation</w:t>
      </w:r>
    </w:p>
    <w:p>
      <w:r>
        <w:t>14.1 Le contrat entre en vigueur à sa signature. Il se poursuit jusqu’à l’achèvement des prestations, y compris l’accompagnement prévu en annexe B. Les obligations qui prévoient expressément une durée supérieure continuent selon leurs termes.</w:t>
      </w:r>
    </w:p>
    <w:p>
      <w:r>
        <w:t>14.2 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p>
    <w:p>
      <w:r>
        <w:t>14.3 Chaque partie peut résilier pour manquement grave de l’autre après mise en demeure précisant le manquement et restée sans effet pendant quinze jours. Les sommes dues au titre des prestations exécutées restent exigibles dans cette hypothèse. Les parties organisent la restitution des accès et documents appartenant à leur titulaire.</w:t>
      </w:r>
    </w:p>
    <w:p>
      <w:pPr>
        <w:pStyle w:val="Heading2"/>
      </w:pPr>
      <w:r>
        <w:t>Article 15 Dispositions finales</w:t>
      </w:r>
    </w:p>
    <w:p>
      <w:r>
        <w:t>15.1 La force majeure est appréciée conformément au droit français. Les parties recherchent une solution amiable pendant trente jours avant toute action au fond, sans empêcher les mesures urgentes.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A.2 La recette technique porte sur la navigation, l’affichage sur les versions stables courantes de Chrome et Safari sur ordinateur et mobile à la signature, la publication d’un article, la réception d’un message de test et l’absence de liens internes rompus. Les contenus de démonstration peuvent être utilisés pour les essais si les contenus définitifs ne sont pas disponibles.</w:t>
      </w:r>
    </w:p>
    <w:p>
      <w:r>
        <w:t>A.3 Le démarrage est fixé au 5 octobre 2026 et la livraison au 30 novembre 2026. Le Client remet les textes et visuels avant le 12 octobre, valide les maquettes avant le 23 octobre et fournit les accès techniques avant le 6 novembre. Ces dates de contribution constituent des objectifs de coordination ; leur dépassement n’entraîne pas une suspension formelle. Les modalités de prolongation sont celles de l’article 3.3.</w:t>
      </w:r>
    </w:p>
    <w:p>
      <w:pPr>
        <w:pStyle w:val="Heading2"/>
      </w:pPr>
      <w:r>
        <w:t>Annexe B Exploitation et coordination</w:t>
      </w:r>
    </w:p>
    <w:p>
      <w:r>
        <w:t>B.1 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p>
    <w:p>
      <w:r>
        <w:t>B.2 Le forfait inclut un accompagnement de vingt-quatre mois suivant la mise en production. Cet accompagnement couvre, sans limitation de volume ni facturation complémentaire, les corrections, les évolutions de compatibilité avec les nouvelles versions des navigateurs et les adaptations rendues nécessaires par les mises à jour des services tiers utilisés par le site. Les demandes passent par l’interlocuteur désigné ; les nouvelles fonctions sans lien avec ces adaptations font l’objet d’un devis.</w:t>
      </w:r>
    </w:p>
    <w:p>
      <w:r>
        <w:t>B.3 En cas de défaillance imputable au Prestataire empêchant l’usage d’une fonction prévue en annexe A, le Client lui notifie les éléments de diagnostic. À défaut de correction dans les dix jours ouvrés, le Client peut confier les mesures de continuité à un tiers. Les frais ainsi engagés, au sens de l’article 2.3, sont remboursables sur justificatifs, sans limitation contractuelle de montant ; le Client évite toute dépense inutile et transmet le détail des interventions.</w:t>
      </w:r>
    </w:p>
    <w:p>
      <w:r>
        <w:t>B.4 Les comptes d’hébergement et le nom de domaine restent sous le contrôle du Client. À la fin de l’accompagnement, le Prestataire supprime ses accès et transmet la dernière documentation disponible. Toute prestation ultérieure nécessite un nouvel accord écrit.</w:t>
      </w:r>
    </w:p>
    <w:p>
      <w:r>
        <w:t>Fait en deux exemplaires. Les parties reconnaissent avoir reçu le contrat et ses annexes A et B avant signature.</w:t>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