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création de site web</w:t>
      </w:r>
    </w:p>
    <w:p>
      <w:r>
        <w:t>Convention entre professionnels • Droit français • 30 septembre 2026</w:t>
      </w:r>
    </w:p>
    <w:p>
      <w:r>
        <w:t xml:space="preserve">Entre la société fictive Orbe Conseil, société par actions simplifiée, représentée par sa présidente Camille Renaud, ci-après le « Client », et Noé Martin, entrepreneur individuel exerçant sous l’enseigne fictive Studio Traverse, ci-après le « Prestataire ». </w:t>
      </w:r>
      <w:commentRangeStart w:id="0"/>
      <w:r>
        <w:rPr>
          <w:highlight w:val="yellow"/>
        </w:rPr>
        <w:t xml:space="preserve">Les coordonnées opérationnelles et de facturation sont échangées à la signature.</w:t>
      </w:r>
      <w:commentRangeEnd w:id="0"/>
      <w:r>
        <w:rPr>
          <w:rStyle w:val="CommentReference"/>
        </w:rPr>
        <w:commentReference w:id="0"/>
      </w:r>
    </w:p>
    <w:p>
      <w:r>
        <w:t xml:space="preserve">Le Client souhaite disposer d’un site institutionnel présentant ses activités de conseil. Le Prestataire réalise la conception graphique et le développement du site selon le périmètre et les modalités ci-dessous. </w:t>
      </w:r>
      <w:commentRangeStart w:id="1"/>
      <w:r>
        <w:rPr>
          <w:highlight w:val="yellow"/>
        </w:rPr>
        <w:t xml:space="preserve">La présente convention et ses deux annexes constituent l’accord des parties.</w:t>
      </w:r>
      <w:commentRangeEnd w:id="1"/>
      <w:r>
        <w:rPr>
          <w:rStyle w:val="CommentReference"/>
        </w:rPr>
        <w:commentReference w:id="1"/>
      </w:r>
    </w:p>
    <w:p>
      <w:pPr>
        <w:pStyle w:val="Heading2"/>
      </w:pPr>
      <w:r>
        <w:t>Article 1 Objet et documents contractuels</w:t>
      </w:r>
    </w:p>
    <w:p>
      <w:r>
        <w:t>1.1 La mission porte sur la conception, le développement, la mise en service et l’accompagnement d’un site en langue française. Les livrables, les jalons et les critères de vérification figurent en annexe A. Les modalités d’exploitation et de coordination figurent en annexe B.</w:t>
      </w:r>
    </w:p>
    <w:p>
      <w:r>
        <w:t xml:space="preserve">1.2 </w:t>
      </w:r>
      <w:commentRangeStart w:id="2"/>
      <w:r>
        <w:rPr>
          <w:highlight w:val="yellow"/>
        </w:rPr>
        <w:t xml:space="preserve">Le corps du contrat prévaut sur les annexes en cas de contradiction. Les annexes complètent les dispositions générales lorsqu’elles en précisent les modalités sans les contredire.</w:t>
      </w:r>
      <w:commentRangeEnd w:id="2"/>
      <w:r>
        <w:rPr>
          <w:rStyle w:val="CommentReference"/>
        </w:rPr>
        <w:commentReference w:id="2"/>
      </w:r>
      <w:r>
        <w:t xml:space="preserve"> </w:t>
      </w:r>
      <w:commentRangeStart w:id="3"/>
      <w:r>
        <w:rPr>
          <w:highlight w:val="yellow"/>
        </w:rPr>
        <w:t xml:space="preserve">Toute modification du contrat exige un accord écrit des deux parties, sauf la procédure de précision du périmètre prévue à l’article 4.2.</w:t>
      </w:r>
      <w:commentRangeEnd w:id="3"/>
      <w:r>
        <w:rPr>
          <w:rStyle w:val="CommentReference"/>
        </w:rPr>
        <w:commentReference w:id="3"/>
      </w:r>
    </w:p>
    <w:p>
      <w:pPr>
        <w:pStyle w:val="Heading2"/>
      </w:pPr>
      <w:r>
        <w:t>Article 2 Définitions</w:t>
      </w:r>
    </w:p>
    <w:p>
      <w:r>
        <w:t xml:space="preserve">2.1 « Jour ouvré » désigne un jour du lundi au vendredi, à l’exclusion des jours fériés en France métropolitaine. Les autres délais exprimés en jours sont calendaires. </w:t>
      </w:r>
      <w:commentRangeStart w:id="4"/>
      <w:r>
        <w:rPr>
          <w:highlight w:val="yellow"/>
        </w:rPr>
        <w:t xml:space="preserve">« Livraison » désigne la mise à disposition d’une version sur l’environnement de préproduction et l’envoi de ses accès au Client.</w:t>
      </w:r>
      <w:commentRangeEnd w:id="4"/>
      <w:r>
        <w:rPr>
          <w:rStyle w:val="CommentReference"/>
        </w:rPr>
        <w:commentReference w:id="4"/>
      </w:r>
    </w:p>
    <w:p>
      <w:r>
        <w:t xml:space="preserve">2.2 </w:t>
      </w:r>
      <w:commentRangeStart w:id="5"/>
      <w:r>
        <w:rPr>
          <w:highlight w:val="yellow"/>
        </w:rPr>
        <w:t xml:space="preserve">« Recette technique » désigne la vérification des fonctions prévues en annexe A.</w:t>
      </w:r>
      <w:commentRangeEnd w:id="5"/>
      <w:r>
        <w:rPr>
          <w:rStyle w:val="CommentReference"/>
        </w:rPr>
        <w:commentReference w:id="5"/>
      </w:r>
      <w:r>
        <w:t xml:space="preserve"> </w:t>
      </w:r>
      <w:commentRangeStart w:id="6"/>
      <w:r>
        <w:rPr>
          <w:highlight w:val="yellow"/>
        </w:rPr>
        <w:t xml:space="preserve">« Recette définitive » désigne la recette technique accompagnée de la clôture des vérifications opérationnelles décrites en annexe B. La mise en production ne vaut pas, à elle seule, recette définitive.</w:t>
      </w:r>
      <w:commentRangeEnd w:id="6"/>
      <w:r>
        <w:rPr>
          <w:rStyle w:val="CommentReference"/>
        </w:rPr>
        <w:commentReference w:id="6"/>
      </w:r>
    </w:p>
    <w:p>
      <w:r>
        <w:t xml:space="preserve">2.3 </w:t>
      </w:r>
      <w:commentRangeStart w:id="7"/>
      <w:r>
        <w:rPr>
          <w:highlight w:val="yellow"/>
        </w:rPr>
        <w:t xml:space="preserve">« Frais de continuité » désigne les sommes raisonnables et documentées engagées par le Client auprès de tiers pour corriger, rétablir ou remplacer un livrable défaillant imputable au Prestataire, y compris la reprise de code, la migration et la reconstitution de données. Ces frais constituent une obligation de remboursement distincte des dommages et intérêts.</w:t>
      </w:r>
      <w:commentRangeEnd w:id="7"/>
      <w:r>
        <w:rPr>
          <w:rStyle w:val="CommentReference"/>
        </w:rPr>
        <w:commentReference w:id="7"/>
      </w:r>
    </w:p>
    <w:p>
      <w:r>
        <w:t xml:space="preserve">2.4 </w:t>
      </w:r>
      <w:commentRangeStart w:id="8"/>
      <w:r>
        <w:rPr>
          <w:highlight w:val="yellow"/>
        </w:rPr>
        <w:t xml:space="preserve">« Suspension formelle » désigne l’interruption du projet constatée par un écrit signé des deux parties et précisant sa date de début ainsi que sa date de fin. Les demandes d’information, périodes d’attente et indisponibilités d’un interlocuteur ne constituent pas une suspension formelle.</w:t>
      </w:r>
      <w:commentRangeEnd w:id="8"/>
      <w:r>
        <w:rPr>
          <w:rStyle w:val="CommentReference"/>
        </w:rPr>
        <w:commentReference w:id="8"/>
      </w:r>
    </w:p>
    <w:p>
      <w:r>
        <w:br w:type="page"/>
      </w:r>
    </w:p>
    <w:p>
      <w:pPr>
        <w:pStyle w:val="Heading1"/>
      </w:pPr>
      <w:r>
        <w:t>Organisation et réalisation de la mission</w:t>
      </w:r>
    </w:p>
    <w:p>
      <w:pPr>
        <w:pStyle w:val="Heading2"/>
      </w:pPr>
      <w:r>
        <w:t>Article 3 Collaboration et calendrier</w:t>
      </w:r>
    </w:p>
    <w:p>
      <w:r>
        <w:t xml:space="preserve">3.1 Chaque partie désigne un interlocuteur habilité à centraliser les échanges et à valider les étapes qui relèvent de sa compétence. </w:t>
      </w:r>
      <w:commentRangeStart w:id="9"/>
      <w:r>
        <w:rPr>
          <w:highlight w:val="yellow"/>
        </w:rPr>
        <w:t xml:space="preserve">Un point de suivi hebdomadaire de trente minutes permet de vérifier les travaux réalisés, les décisions attendues et les prochaines livraisons.</w:t>
      </w:r>
      <w:commentRangeEnd w:id="9"/>
      <w:r>
        <w:rPr>
          <w:rStyle w:val="CommentReference"/>
        </w:rPr>
        <w:commentReference w:id="9"/>
      </w:r>
      <w:r>
        <w:t xml:space="preserve"> Les comptes rendus sont transmis par courrier électronique.</w:t>
      </w:r>
    </w:p>
    <w:p>
      <w:r>
        <w:t xml:space="preserve">3.2 Le Client fournit les textes, visuels, accès et validations nécessaires dans les délais indicatifs de l’annexe A. </w:t>
      </w:r>
      <w:commentRangeStart w:id="10"/>
      <w:r>
        <w:rPr>
          <w:highlight w:val="green"/>
        </w:rPr>
        <w:t xml:space="preserve">Le Prestataire signale sans délai les informations manquantes et leur incidence prévisible. Il conserve la trace des demandes et réponses dans le dossier partagé du projet.</w:t>
      </w:r>
      <w:commentRangeEnd w:id="10"/>
      <w:r>
        <w:rPr>
          <w:rStyle w:val="CommentReference"/>
        </w:rPr>
        <w:commentReference w:id="10"/>
      </w:r>
    </w:p>
    <w:p>
      <w:r>
        <w:t xml:space="preserve">3.3 La date de livraison résulte du calendrier de l’annexe A. </w:t>
      </w:r>
      <w:commentRangeStart w:id="11"/>
      <w:r>
        <w:rPr>
          <w:highlight w:val="yellow"/>
        </w:rPr>
        <w:t xml:space="preserve">Seules les périodes de suspension formelle au sens de l’article 2.4, les avenants signés et les événements de force majeure prolongent cette date. Le planning de suivi est mis à jour à titre informatif et ne modifie pas, à lui seul, les échéances contractuelles.</w:t>
      </w:r>
      <w:commentRangeEnd w:id="11"/>
      <w:r>
        <w:rPr>
          <w:rStyle w:val="CommentReference"/>
        </w:rPr>
        <w:commentReference w:id="11"/>
      </w:r>
    </w:p>
    <w:p>
      <w:pPr>
        <w:pStyle w:val="Heading2"/>
      </w:pPr>
      <w:r>
        <w:t>Article 4 Périmètre et ajustements</w:t>
      </w:r>
    </w:p>
    <w:p>
      <w:r>
        <w:t xml:space="preserve">4.1 Le prix comprend les livrables décrits en annexe A et deux séries de retours consolidés sur les maquettes. Le Prestataire corrige sans supplément les écarts entre ses livrables et les spécifications convenues. </w:t>
      </w:r>
      <w:commentRangeStart w:id="12"/>
      <w:r>
        <w:rPr>
          <w:highlight w:val="yellow"/>
        </w:rPr>
        <w:t xml:space="preserve">Toute fonctionnalité extérieure au périmètre fait normalement l’objet d’un devis complémentaire accepté avant réalisation.</w:t>
      </w:r>
      <w:commentRangeEnd w:id="12"/>
      <w:r>
        <w:rPr>
          <w:rStyle w:val="CommentReference"/>
        </w:rPr>
        <w:commentReference w:id="12"/>
      </w:r>
    </w:p>
    <w:p>
      <w:r>
        <w:t xml:space="preserve">4.2 </w:t>
      </w:r>
      <w:commentRangeStart w:id="13"/>
      <w:r>
        <w:rPr>
          <w:highlight w:val="yellow"/>
        </w:rPr>
        <w:t xml:space="preserve">Le Client peut préciser par courrier électronique les besoins fonctionnels exprimés en annexe A. Sauf objection motivée du Prestataire dans les deux jours ouvrés de cet envoi, ces précisions sont réputées comprises dans le forfait et le calendrier initial, même lorsqu’elles augmentent le nombre d’écrans, les règles de gestion ou les connexions nécessaires. Cette procédure ne requiert pas la signature d’un avenant.</w:t>
      </w:r>
      <w:commentRangeEnd w:id="13"/>
      <w:r>
        <w:rPr>
          <w:rStyle w:val="CommentReference"/>
        </w:rPr>
        <w:commentReference w:id="13"/>
      </w:r>
    </w:p>
    <w:p>
      <w:r>
        <w:t xml:space="preserve">4.3 Les changements expressément refusés dans ce délai font l’objet d’un arbitrage entre les parties. </w:t>
      </w:r>
      <w:commentRangeStart w:id="14"/>
      <w:r>
        <w:rPr>
          <w:highlight w:val="green"/>
        </w:rPr>
        <w:t xml:space="preserve">En l’absence d’accord, le périmètre antérieur demeure applicable.</w:t>
      </w:r>
      <w:commentRangeEnd w:id="14"/>
      <w:r>
        <w:rPr>
          <w:rStyle w:val="CommentReference"/>
        </w:rPr>
        <w:commentReference w:id="14"/>
      </w:r>
      <w:r>
        <w:t xml:space="preserve"> Aucun accord oral ne vaut commande supplémentaire.</w:t>
      </w:r>
    </w:p>
    <w:p>
      <w:pPr>
        <w:pStyle w:val="Heading2"/>
      </w:pPr>
      <w:r>
        <w:t>Article 5 Conditions techniques</w:t>
      </w:r>
    </w:p>
    <w:p>
      <w:r>
        <w:t xml:space="preserve">5.1 </w:t>
      </w:r>
      <w:commentRangeStart w:id="15"/>
      <w:r>
        <w:rPr>
          <w:highlight w:val="yellow"/>
        </w:rPr>
        <w:t xml:space="preserve">Le site est développé sur un environnement de préproduction distinct du site public.</w:t>
      </w:r>
      <w:commentRangeEnd w:id="15"/>
      <w:r>
        <w:rPr>
          <w:rStyle w:val="CommentReference"/>
        </w:rPr>
        <w:commentReference w:id="15"/>
      </w:r>
      <w:r>
        <w:t xml:space="preserve"> Les essais utilisent des données fictives. </w:t>
      </w:r>
      <w:commentRangeStart w:id="16"/>
      <w:r>
        <w:rPr>
          <w:highlight w:val="yellow"/>
        </w:rPr>
        <w:t xml:space="preserve">Les accès sont nominatifs et les mots de passe sont transmis par un canal sécurisé.</w:t>
      </w:r>
      <w:commentRangeEnd w:id="16"/>
      <w:r>
        <w:rPr>
          <w:rStyle w:val="CommentReference"/>
        </w:rPr>
        <w:commentReference w:id="16"/>
      </w:r>
      <w:r>
        <w:t xml:space="preserve"> </w:t>
      </w:r>
      <w:commentRangeStart w:id="17"/>
      <w:r>
        <w:rPr>
          <w:highlight w:val="yellow"/>
        </w:rPr>
        <w:t xml:space="preserve">Le Prestataire tient un dépôt de code et remet une notice de déploiement.</w:t>
      </w:r>
      <w:commentRangeEnd w:id="17"/>
      <w:r>
        <w:rPr>
          <w:rStyle w:val="CommentReference"/>
        </w:rPr>
        <w:commentReference w:id="17"/>
      </w:r>
    </w:p>
    <w:p>
      <w:r>
        <w:t xml:space="preserve">5.2 </w:t>
      </w:r>
      <w:commentRangeStart w:id="18"/>
      <w:r>
        <w:rPr>
          <w:highlight w:val="yellow"/>
        </w:rPr>
        <w:t xml:space="preserve">Les abonnements d’hébergement, le nom de domaine et les services tiers sont souscrits directement par le Client. Le Prestataire conseille leur configuration pour le périmètre prévu.</w:t>
      </w:r>
      <w:commentRangeEnd w:id="18"/>
      <w:r>
        <w:rPr>
          <w:rStyle w:val="CommentReference"/>
        </w:rPr>
        <w:commentReference w:id="18"/>
      </w:r>
      <w:r>
        <w:t xml:space="preserve"> </w:t>
      </w:r>
      <w:commentRangeStart w:id="19"/>
      <w:r>
        <w:rPr>
          <w:highlight w:val="yellow"/>
        </w:rPr>
        <w:t xml:space="preserve">Le Client reste responsable des décisions commerciales et des contenus éditoriaux qu’il publie, sous réserve des garanties définies à l’article 10.</w:t>
      </w:r>
      <w:commentRangeEnd w:id="19"/>
      <w:r>
        <w:rPr>
          <w:rStyle w:val="CommentReference"/>
        </w:rPr>
        <w:commentReference w:id="19"/>
      </w:r>
    </w:p>
    <w:p>
      <w:r>
        <w:br w:type="page"/>
      </w:r>
    </w:p>
    <w:p>
      <w:pPr>
        <w:pStyle w:val="Heading1"/>
      </w:pPr>
      <w:r>
        <w:t>Livraison et conditions financières</w:t>
      </w:r>
    </w:p>
    <w:p>
      <w:pPr>
        <w:pStyle w:val="Heading2"/>
      </w:pPr>
      <w:r>
        <w:t>Article 6 Vérification et recette</w:t>
      </w:r>
    </w:p>
    <w:p>
      <w:r>
        <w:t xml:space="preserve">6.1 </w:t>
      </w:r>
      <w:commentRangeStart w:id="20"/>
      <w:r>
        <w:rPr>
          <w:highlight w:val="yellow"/>
        </w:rPr>
        <w:t xml:space="preserve">Le Client dispose de dix jours ouvrés après chaque livraison pour transmettre une liste consolidée des non-conformités techniques, en précisant les étapes permettant de les reproduire. À défaut de retour dans ce délai, la recette technique est acquise. Les anomalies mineures qui ne bloquent pas l’usage des fonctions prévues sont corrigées dans un délai convenu et n’empêchent pas cette recette technique.</w:t>
      </w:r>
      <w:commentRangeEnd w:id="20"/>
      <w:r>
        <w:rPr>
          <w:rStyle w:val="CommentReference"/>
        </w:rPr>
        <w:commentReference w:id="20"/>
      </w:r>
    </w:p>
    <w:p>
      <w:r>
        <w:t xml:space="preserve">6.2 La recette définitive est constatée après accomplissement des éléments définis à l’article 2.2. </w:t>
      </w:r>
      <w:commentRangeStart w:id="21"/>
      <w:r>
        <w:rPr>
          <w:highlight w:val="yellow"/>
        </w:rPr>
        <w:t xml:space="preserve">Le Client transmet le procès-verbal dans les cinq jours ouvrés suivant leur accomplissement.</w:t>
      </w:r>
      <w:commentRangeEnd w:id="21"/>
      <w:r>
        <w:rPr>
          <w:rStyle w:val="CommentReference"/>
        </w:rPr>
        <w:commentReference w:id="21"/>
      </w:r>
      <w:r>
        <w:t xml:space="preserve"> Le Prestataire peut demander un état d’avancement des vérifications opérationnelles une fois par semaine.</w:t>
      </w:r>
    </w:p>
    <w:p>
      <w:pPr>
        <w:pStyle w:val="Heading2"/>
      </w:pPr>
      <w:r>
        <w:t>Article 7 Prix et facturation</w:t>
      </w:r>
    </w:p>
    <w:p>
      <w:r>
        <w:t xml:space="preserve">7.1 </w:t>
      </w:r>
      <w:commentRangeStart w:id="22"/>
      <w:r>
        <w:rPr>
          <w:highlight w:val="yellow"/>
        </w:rPr>
        <w:t xml:space="preserve">Le prix forfaitaire est de 12 000 euros hors taxes, augmenté de la TVA si elle est applicable.</w:t>
      </w:r>
      <w:commentRangeEnd w:id="22"/>
      <w:r>
        <w:rPr>
          <w:rStyle w:val="CommentReference"/>
        </w:rPr>
        <w:commentReference w:id="22"/>
      </w:r>
      <w:r>
        <w:t xml:space="preserve"> Il comprend la rémunération des droits et des services expressément inclus au contrat. </w:t>
      </w:r>
      <w:commentRangeStart w:id="23"/>
      <w:r>
        <w:rPr>
          <w:highlight w:val="yellow"/>
        </w:rPr>
        <w:t xml:space="preserve">Les frais externes préalablement approuvés par le Client sont refacturés sur justificatifs, sans majoration.</w:t>
      </w:r>
      <w:commentRangeEnd w:id="23"/>
      <w:r>
        <w:rPr>
          <w:rStyle w:val="CommentReference"/>
        </w:rPr>
        <w:commentReference w:id="23"/>
      </w:r>
    </w:p>
    <w:p>
      <w:r>
        <w:t xml:space="preserve">7.2 </w:t>
      </w:r>
      <w:commentRangeStart w:id="24"/>
      <w:r>
        <w:rPr>
          <w:highlight w:val="yellow"/>
        </w:rPr>
        <w:t xml:space="preserve">Un acompte de 3 600 euros hors taxes est facturé à la signature.</w:t>
      </w:r>
      <w:commentRangeEnd w:id="24"/>
      <w:r>
        <w:rPr>
          <w:rStyle w:val="CommentReference"/>
        </w:rPr>
        <w:commentReference w:id="24"/>
      </w:r>
      <w:r>
        <w:t xml:space="preserve"> </w:t>
      </w:r>
      <w:commentRangeStart w:id="25"/>
      <w:r>
        <w:rPr>
          <w:highlight w:val="yellow"/>
        </w:rPr>
        <w:t xml:space="preserve">Le solde de 8 400 euros hors taxes est facturable uniquement à la recette définitive.</w:t>
      </w:r>
      <w:commentRangeEnd w:id="25"/>
      <w:r>
        <w:rPr>
          <w:rStyle w:val="CommentReference"/>
        </w:rPr>
        <w:commentReference w:id="25"/>
      </w:r>
      <w:r>
        <w:t xml:space="preserve"> </w:t>
      </w:r>
      <w:commentRangeStart w:id="26"/>
      <w:r>
        <w:rPr>
          <w:highlight w:val="yellow"/>
        </w:rPr>
        <w:t xml:space="preserve">Les factures sont payables par virement à trente jours de leur émission.</w:t>
      </w:r>
      <w:commentRangeEnd w:id="26"/>
      <w:r>
        <w:rPr>
          <w:rStyle w:val="CommentReference"/>
        </w:rPr>
        <w:commentReference w:id="26"/>
      </w:r>
      <w:r>
        <w:t xml:space="preserve"> </w:t>
      </w:r>
      <w:commentRangeStart w:id="27"/>
      <w:r>
        <w:rPr>
          <w:highlight w:val="yellow"/>
        </w:rPr>
        <w:t xml:space="preserve">La livraison, la recette technique et l’utilisation publique du site ne permettent pas, séparément, d’émettre la facture de solde.</w:t>
      </w:r>
      <w:commentRangeEnd w:id="27"/>
      <w:r>
        <w:rPr>
          <w:rStyle w:val="CommentReference"/>
        </w:rPr>
        <w:commentReference w:id="27"/>
      </w:r>
    </w:p>
    <w:p>
      <w:r>
        <w:t xml:space="preserve">7.3 </w:t>
      </w:r>
      <w:commentRangeStart w:id="28"/>
      <w:r>
        <w:rPr>
          <w:highlight w:val="yellow"/>
        </w:rPr>
        <w:t xml:space="preserve">Toute somme facturée et échue porte les pénalités de retard légalement applicables entre professionnels ainsi que l’indemnité forfaitaire de recouvrement de 40 euros, sans préjudice des frais supplémentaires justifiés. En cas de facture échue impayée, le Prestataire peut suspendre ses travaux après une mise en demeure restée sans effet pendant quinze jours.</w:t>
      </w:r>
      <w:commentRangeEnd w:id="28"/>
      <w:r>
        <w:rPr>
          <w:rStyle w:val="CommentReference"/>
        </w:rPr>
        <w:commentReference w:id="28"/>
      </w:r>
    </w:p>
    <w:p>
      <w:pPr>
        <w:pStyle w:val="Heading2"/>
      </w:pPr>
      <w:r>
        <w:t>Article 8 Délais et pénalités</w:t>
      </w:r>
    </w:p>
    <w:p>
      <w:r>
        <w:t xml:space="preserve">8.1 </w:t>
      </w:r>
      <w:commentRangeStart w:id="29"/>
      <w:r>
        <w:rPr>
          <w:highlight w:val="yellow"/>
        </w:rPr>
        <w:t xml:space="preserve">Pour chaque jour calendaire de retard de livraison imputable au Prestataire, le Client peut appliquer une pénalité de 600 euros hors taxes, sans plafond cumulé, après mise en demeure de livrer restée sans effet. Les pénalités courent jusqu’à la livraison et peuvent être déduites des sommes dues au Prestataire.</w:t>
      </w:r>
      <w:commentRangeEnd w:id="29"/>
      <w:r>
        <w:rPr>
          <w:rStyle w:val="CommentReference"/>
        </w:rPr>
        <w:commentReference w:id="29"/>
      </w:r>
      <w:r>
        <w:t xml:space="preserve"> Elles réparent forfaitairement le préjudice de retard et ne se cumulent pas avec des dommages et intérêts portant sur ce même préjudice.</w:t>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 xml:space="preserve">9.1 Les outils, bibliothèques, méthodes et composants antérieurs au projet restent la propriété de leur titulaire. </w:t>
      </w:r>
      <w:commentRangeStart w:id="30"/>
      <w:r>
        <w:rPr>
          <w:highlight w:val="yellow"/>
        </w:rPr>
        <w:t xml:space="preserve">Le Client reçoit sur les composants antérieurs intégrés au site une licence non exclusive permettant l’utilisation, la maintenance et la modification du site, pour le monde entier et la durée légale des droits.</w:t>
      </w:r>
      <w:commentRangeEnd w:id="30"/>
      <w:r>
        <w:rPr>
          <w:rStyle w:val="CommentReference"/>
        </w:rPr>
        <w:commentReference w:id="30"/>
      </w:r>
      <w:r>
        <w:t xml:space="preserve"> </w:t>
      </w:r>
      <w:commentRangeStart w:id="31"/>
      <w:r>
        <w:rPr>
          <w:highlight w:val="yellow"/>
        </w:rPr>
        <w:t xml:space="preserve">Les composants tiers restent soumis à leurs licences, dont la liste est remise avec le code.</w:t>
      </w:r>
      <w:commentRangeEnd w:id="31"/>
      <w:r>
        <w:rPr>
          <w:rStyle w:val="CommentReference"/>
        </w:rPr>
        <w:commentReference w:id="31"/>
      </w:r>
    </w:p>
    <w:p>
      <w:r>
        <w:t xml:space="preserve">9.2 </w:t>
      </w:r>
      <w:commentRangeStart w:id="32"/>
      <w:r>
        <w:rPr>
          <w:highlight w:val="yellow"/>
        </w:rPr>
        <w:t xml:space="preserve">Sur les créations originales spécifiquement réalisées pour ce projet, le Prestataire cède à titre exclusif les droits de reproduction, de représentation et d’adaptation, pour l’exploitation et la promotion du site institutionnel du Client, sur supports numériques et imprimés, pour le monde entier et la durée légale de protection. Le droit d’adaptation comprend la maintenance et les modifications confiées à un tiers.</w:t>
      </w:r>
      <w:commentRangeEnd w:id="32"/>
      <w:r>
        <w:rPr>
          <w:rStyle w:val="CommentReference"/>
        </w:rPr>
        <w:commentReference w:id="32"/>
      </w:r>
      <w:r>
        <w:t xml:space="preserve"> Les droits moraux demeurent réservés.</w:t>
      </w:r>
    </w:p>
    <w:p>
      <w:r>
        <w:t xml:space="preserve">9.3 </w:t>
      </w:r>
      <w:commentRangeStart w:id="33"/>
      <w:r>
        <w:rPr>
          <w:highlight w:val="yellow"/>
        </w:rPr>
        <w:t xml:space="preserve">La cession prend effet à la livraison de chaque création concernée, indépendamment du paiement de la facture correspondante. Elle subsiste en cas de résiliation ou de contestation du prix, le Prestataire conservant uniquement ses créances monétaires. La remise du code source intervient à la livraison technique.</w:t>
      </w:r>
      <w:commentRangeEnd w:id="33"/>
      <w:r>
        <w:rPr>
          <w:rStyle w:val="CommentReference"/>
        </w:rPr>
        <w:commentReference w:id="33"/>
      </w:r>
    </w:p>
    <w:p>
      <w:pPr>
        <w:pStyle w:val="Heading2"/>
      </w:pPr>
      <w:r>
        <w:t>Article 10 Contenus fournis et droits des tiers</w:t>
      </w:r>
    </w:p>
    <w:p>
      <w:r>
        <w:t xml:space="preserve">10.1 </w:t>
      </w:r>
      <w:commentRangeStart w:id="34"/>
      <w:r>
        <w:rPr>
          <w:highlight w:val="yellow"/>
        </w:rPr>
        <w:t xml:space="preserve">Le Client sélectionne les marques, textes, photographies et autres éléments à intégrer au site et transmet les autorisations dont il dispose.</w:t>
      </w:r>
      <w:commentRangeEnd w:id="34"/>
      <w:r>
        <w:rPr>
          <w:rStyle w:val="CommentReference"/>
        </w:rPr>
        <w:commentReference w:id="34"/>
      </w:r>
      <w:r>
        <w:t xml:space="preserve"> Le Prestataire vérifie la compatibilité technique des formats et signale les restrictions de licence portées à sa connaissance.</w:t>
      </w:r>
    </w:p>
    <w:p>
      <w:r>
        <w:t xml:space="preserve">10.2 </w:t>
      </w:r>
      <w:commentRangeStart w:id="35"/>
      <w:r>
        <w:rPr>
          <w:highlight w:val="yellow"/>
        </w:rPr>
        <w:t xml:space="preserve">Afin de simplifier le traitement des réclamations, le Prestataire garantit le Client contre toute revendication de droits de propriété intellectuelle concernant les éléments intégrés au site, y compris ceux fournis ou imposés par le Client. Il prend en charge les frais de défense raisonnables et les condamnations définitives, même si l’absence d’autorisation concerne un élément reçu du Client qu’il n’a pas modifié. Le Client informe rapidement le Prestataire de toute réclamation et lui permet de participer à la défense.</w:t>
      </w:r>
      <w:commentRangeEnd w:id="35"/>
      <w:r>
        <w:rPr>
          <w:rStyle w:val="CommentReference"/>
        </w:rPr>
        <w:commentReference w:id="35"/>
      </w:r>
    </w:p>
    <w:p>
      <w:pPr>
        <w:pStyle w:val="Heading2"/>
      </w:pPr>
      <w:r>
        <w:t>Article 11 Confidentialité et données</w:t>
      </w:r>
    </w:p>
    <w:p>
      <w:r>
        <w:t xml:space="preserve">11.1 </w:t>
      </w:r>
      <w:commentRangeStart w:id="36"/>
      <w:r>
        <w:rPr>
          <w:highlight w:val="yellow"/>
        </w:rPr>
        <w:t xml:space="preserve">Chaque partie protège les informations non publiques reçues de l’autre pendant le contrat et pendant trois ans après sa fin.</w:t>
      </w:r>
      <w:commentRangeEnd w:id="36"/>
      <w:r>
        <w:rPr>
          <w:rStyle w:val="CommentReference"/>
        </w:rPr>
        <w:commentReference w:id="36"/>
      </w:r>
      <w:r>
        <w:t xml:space="preserve"> Ne sont pas concernées les informations déjà publiques, obtenues licitement d’un tiers ou dont la communication est imposée par la loi. Une communication obligatoire est limitée aux éléments nécessaires.</w:t>
      </w:r>
    </w:p>
    <w:p>
      <w:r>
        <w:t xml:space="preserve">11.2 La mission n’inclut ni reprise d’une base de contacts ni accès aux données réelles des prospects. Le Client administre lui-même les messages du formulaire après déploiement. </w:t>
      </w:r>
      <w:commentRangeStart w:id="37"/>
      <w:r>
        <w:rPr>
          <w:highlight w:val="yellow"/>
        </w:rPr>
        <w:t xml:space="preserve">Si une intervention nécessite un traitement de données personnelles pour son compte, les parties définissent préalablement par écrit les instructions, accès et mesures de sécurité nécessaires, conformément à la réglementation applicable.</w:t>
      </w:r>
      <w:commentRangeEnd w:id="37"/>
      <w:r>
        <w:rPr>
          <w:rStyle w:val="CommentReference"/>
        </w:rPr>
        <w:commentReference w:id="37"/>
      </w:r>
    </w:p>
    <w:p>
      <w:r>
        <w:br w:type="page"/>
      </w:r>
    </w:p>
    <w:p>
      <w:pPr>
        <w:pStyle w:val="Heading1"/>
      </w:pPr>
      <w:r>
        <w:t>Responsabilité et fin de mission</w:t>
      </w:r>
    </w:p>
    <w:p>
      <w:pPr>
        <w:pStyle w:val="Heading2"/>
      </w:pPr>
      <w:r>
        <w:t>Article 12 Responsabilité</w:t>
      </w:r>
    </w:p>
    <w:p>
      <w:r>
        <w:t xml:space="preserve">12.1 </w:t>
      </w:r>
      <w:commentRangeStart w:id="38"/>
      <w:r>
        <w:rPr>
          <w:highlight w:val="yellow"/>
        </w:rPr>
        <w:t xml:space="preserve">Sous réserve des règles impératives, de la faute lourde ou dolosive et des dommages corporels, le montant cumulé des dommages et intérêts dus par le Prestataire au titre du contrat est limité à 12 000 euros. Les pertes de chance commerciales et pertes de bénéfices indirectes sont exclues. Les pénalités de l’article 8 sont régies exclusivement par cet article.</w:t>
      </w:r>
      <w:commentRangeEnd w:id="38"/>
      <w:r>
        <w:rPr>
          <w:rStyle w:val="CommentReference"/>
        </w:rPr>
        <w:commentReference w:id="38"/>
      </w:r>
    </w:p>
    <w:p>
      <w:r>
        <w:t xml:space="preserve">12.2 </w:t>
      </w:r>
      <w:commentRangeStart w:id="39"/>
      <w:r>
        <w:rPr>
          <w:highlight w:val="yellow"/>
        </w:rPr>
        <w:t xml:space="preserve">Les obligations de remboursement ne constituent pas des dommages et intérêts pour l’application du présent article. Les frais de continuité définis à l’article 2.3 et mis en œuvre selon l’annexe B sont réglés séparément. Les indemnités de garantie de l’article 10.2 sont, en revanche, comprises dans le plafond de l’article 12.1.</w:t>
      </w:r>
      <w:commentRangeEnd w:id="39"/>
      <w:r>
        <w:rPr>
          <w:rStyle w:val="CommentReference"/>
        </w:rPr>
        <w:commentReference w:id="39"/>
      </w:r>
    </w:p>
    <w:p>
      <w:r>
        <w:t xml:space="preserve">12.3 Chaque partie conserve les justificatifs utiles à l’établissement de ses préjudices. Elle prend les mesures raisonnables permettant d’éviter leur aggravation. </w:t>
      </w:r>
      <w:commentRangeStart w:id="40"/>
      <w:r>
        <w:rPr>
          <w:highlight w:val="yellow"/>
        </w:rPr>
        <w:t xml:space="preserve">Le Prestataire maintient une assurance de responsabilité civile professionnelle adaptée à son activité et en fournit une attestation sur demande.</w:t>
      </w:r>
      <w:commentRangeEnd w:id="40"/>
      <w:r>
        <w:rPr>
          <w:rStyle w:val="CommentReference"/>
        </w:rPr>
        <w:commentReference w:id="40"/>
      </w:r>
    </w:p>
    <w:p>
      <w:pPr>
        <w:pStyle w:val="Heading2"/>
      </w:pPr>
      <w:r>
        <w:t xml:space="preserve">Article 13 </w:t>
      </w:r>
      <w:commentRangeStart w:id="41"/>
      <w:r>
        <w:rPr>
          <w:highlight w:val="yellow"/>
        </w:rPr>
        <w:t xml:space="preserve">Disponibilité commerciale</w:t>
      </w:r>
      <w:commentRangeEnd w:id="41"/>
      <w:r>
        <w:rPr>
          <w:rStyle w:val="CommentReference"/>
        </w:rPr>
        <w:commentReference w:id="41"/>
      </w:r>
    </w:p>
    <w:p>
      <w:r>
        <w:t xml:space="preserve">13.1 </w:t>
      </w:r>
      <w:commentRangeStart w:id="42"/>
      <w:r>
        <w:rPr>
          <w:highlight w:val="yellow"/>
        </w:rPr>
        <w:t xml:space="preserve">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commentRangeEnd w:id="42"/>
      <w:r>
        <w:rPr>
          <w:rStyle w:val="CommentReference"/>
        </w:rPr>
        <w:commentReference w:id="42"/>
      </w:r>
    </w:p>
    <w:p>
      <w:pPr>
        <w:pStyle w:val="Heading2"/>
      </w:pPr>
      <w:r>
        <w:t>Article 14 Durée et résiliation</w:t>
      </w:r>
    </w:p>
    <w:p>
      <w:r>
        <w:t xml:space="preserve">14.1 Le contrat entre en vigueur à sa signature. </w:t>
      </w:r>
      <w:commentRangeStart w:id="43"/>
      <w:r>
        <w:rPr>
          <w:highlight w:val="yellow"/>
        </w:rPr>
        <w:t xml:space="preserve">Il se poursuit jusqu’à l’achèvement des prestations, y compris l’accompagnement prévu en annexe B.</w:t>
      </w:r>
      <w:commentRangeEnd w:id="43"/>
      <w:r>
        <w:rPr>
          <w:rStyle w:val="CommentReference"/>
        </w:rPr>
        <w:commentReference w:id="43"/>
      </w:r>
      <w:r>
        <w:t xml:space="preserve"> Les obligations qui prévoient expressément une durée supérieure continuent selon leurs termes.</w:t>
      </w:r>
    </w:p>
    <w:p>
      <w:r>
        <w:t xml:space="preserve">14.2 </w:t>
      </w:r>
      <w:commentRangeStart w:id="44"/>
      <w:r>
        <w:rPr>
          <w:highlight w:val="yellow"/>
        </w:rPr>
        <w:t xml:space="preserve">Le Client peut résilier le contrat pour convenance avec un préavis de cinq jours ouvrés. Seuls les livrables ayant obtenu leur recette définitive à la date d’effet sont rémunérés, au prorata du prix correspondant. Les travaux en cours et les livrables non encore définitivement réceptionnés ne donnent lieu à aucune indemnité. La fraction de l’acompte qui excède cette rémunération est restituée sous quinze jours.</w:t>
      </w:r>
      <w:commentRangeEnd w:id="44"/>
      <w:r>
        <w:rPr>
          <w:rStyle w:val="CommentReference"/>
        </w:rPr>
        <w:commentReference w:id="44"/>
      </w:r>
    </w:p>
    <w:p>
      <w:r>
        <w:t xml:space="preserve">14.3 </w:t>
      </w:r>
      <w:commentRangeStart w:id="45"/>
      <w:r>
        <w:rPr>
          <w:highlight w:val="yellow"/>
        </w:rPr>
        <w:t xml:space="preserve">Chaque partie peut résilier pour manquement grave de l’autre après mise en demeure précisant le manquement et restée sans effet pendant quinze jours. Les sommes dues au titre des prestations exécutées restent exigibles dans cette hypothèse.</w:t>
      </w:r>
      <w:commentRangeEnd w:id="45"/>
      <w:r>
        <w:rPr>
          <w:rStyle w:val="CommentReference"/>
        </w:rPr>
        <w:commentReference w:id="45"/>
      </w:r>
      <w:r>
        <w:t xml:space="preserve"> Les parties organisent la restitution des accès et documents appartenant à leur titulaire.</w:t>
      </w:r>
    </w:p>
    <w:p>
      <w:pPr>
        <w:pStyle w:val="Heading2"/>
      </w:pPr>
      <w:r>
        <w:t>Article 15 Dispositions finales</w:t>
      </w:r>
    </w:p>
    <w:p>
      <w:r>
        <w:t xml:space="preserve">15.1 </w:t>
      </w:r>
      <w:commentRangeStart w:id="46"/>
      <w:r>
        <w:rPr>
          <w:highlight w:val="yellow"/>
        </w:rPr>
        <w:t xml:space="preserve">La force majeure est appréciée conformément au droit français.</w:t>
      </w:r>
      <w:commentRangeEnd w:id="46"/>
      <w:r>
        <w:rPr>
          <w:rStyle w:val="CommentReference"/>
        </w:rPr>
        <w:commentReference w:id="46"/>
      </w:r>
      <w:r>
        <w:t xml:space="preserve"> </w:t>
      </w:r>
      <w:commentRangeStart w:id="47"/>
      <w:r>
        <w:rPr>
          <w:highlight w:val="yellow"/>
        </w:rPr>
        <w:t xml:space="preserve">Les parties recherchent une solution amiable pendant trente jours avant toute action au fond, sans empêcher les mesures urgentes.</w:t>
      </w:r>
      <w:commentRangeEnd w:id="47"/>
      <w:r>
        <w:rPr>
          <w:rStyle w:val="CommentReference"/>
        </w:rPr>
        <w:commentReference w:id="47"/>
      </w:r>
      <w:r>
        <w:t xml:space="preserve">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A.1 Le site comprend six pages : accueil, cabinet, expertises, méthode, actualités et contact ; un modèle d’article ; une interface de gestion des contenus ; un formulaire de contact avec protection contre les envois automatisés. La mission comprend les maquettes, l’intégration responsive, les métadonnées essentielles, le code source et deux heures de formation à distance. Le paiement en ligne, les espaces membres et la traduction sont exclus du périmètre initial.</w:t>
      </w:r>
    </w:p>
    <w:p>
      <w:r>
        <w:t xml:space="preserve">A.2 </w:t>
      </w:r>
      <w:commentRangeStart w:id="48"/>
      <w:r>
        <w:rPr>
          <w:highlight w:val="yellow"/>
        </w:rPr>
        <w:t xml:space="preserve">La recette technique porte sur la navigation, l’affichage sur les versions stables courantes de Chrome et Safari sur ordinateur et mobile à la signature, la publication d’un article, la réception d’un message de test et l’absence de liens internes rompus.</w:t>
      </w:r>
      <w:commentRangeEnd w:id="48"/>
      <w:r>
        <w:rPr>
          <w:rStyle w:val="CommentReference"/>
        </w:rPr>
        <w:commentReference w:id="48"/>
      </w:r>
      <w:r>
        <w:t xml:space="preserve"> Les contenus de démonstration peuvent être utilisés pour les essais si les contenus définitifs ne sont pas disponibles.</w:t>
      </w:r>
    </w:p>
    <w:p>
      <w:r>
        <w:t xml:space="preserve">A.3 Le démarrage est fixé au 5 octobre 2026 et la livraison au 30 novembre 2026. </w:t>
      </w:r>
      <w:commentRangeStart w:id="49"/>
      <w:r>
        <w:rPr>
          <w:highlight w:val="yellow"/>
        </w:rPr>
        <w:t xml:space="preserve">Le Client remet les textes et visuels avant le 12 octobre, valide les maquettes avant le 23 octobre et fournit les accès techniques avant le 6 novembre. Ces dates de contribution constituent des objectifs de coordination ; leur dépassement n’entraîne pas une suspension formelle.</w:t>
      </w:r>
      <w:commentRangeEnd w:id="49"/>
      <w:r>
        <w:rPr>
          <w:rStyle w:val="CommentReference"/>
        </w:rPr>
        <w:commentReference w:id="49"/>
      </w:r>
      <w:r>
        <w:t xml:space="preserve"> Les modalités de prolongation sont celles de l’article 3.3.</w:t>
      </w:r>
    </w:p>
    <w:p>
      <w:pPr>
        <w:pStyle w:val="Heading2"/>
      </w:pPr>
      <w:r>
        <w:t>Annexe B Exploitation et coordination</w:t>
      </w:r>
    </w:p>
    <w:p>
      <w:r>
        <w:t xml:space="preserve">B.1 </w:t>
      </w:r>
      <w:commentRangeStart w:id="50"/>
      <w:r>
        <w:rPr>
          <w:highlight w:val="yellow"/>
        </w:rPr>
        <w:t xml:space="preserve">La clôture opérationnelle requiert le visa écrit du partenaire de distribution du Client sur la présentation de son offre et de sa marque. Le Client sollicite ce partenaire après la recette technique. Le partenaire n’est pas signataire du présent contrat, aucun délai de réponse ne lui est imposé et son silence ne vaut pas visa. Aucun mécanisme de substitution au visa n’est prévu.</w:t>
      </w:r>
      <w:commentRangeEnd w:id="50"/>
      <w:r>
        <w:rPr>
          <w:rStyle w:val="CommentReference"/>
        </w:rPr>
        <w:commentReference w:id="50"/>
      </w:r>
    </w:p>
    <w:p>
      <w:r>
        <w:t xml:space="preserve">B.2 </w:t>
      </w:r>
      <w:commentRangeStart w:id="51"/>
      <w:r>
        <w:rPr>
          <w:highlight w:val="yellow"/>
        </w:rPr>
        <w:t xml:space="preserve">Le forfait inclut un accompagnement de vingt-quatre mois suivant la mise en production.</w:t>
      </w:r>
      <w:commentRangeEnd w:id="51"/>
      <w:r>
        <w:rPr>
          <w:rStyle w:val="CommentReference"/>
        </w:rPr>
        <w:commentReference w:id="51"/>
      </w:r>
      <w:r>
        <w:t xml:space="preserve"> </w:t>
      </w:r>
      <w:commentRangeStart w:id="52"/>
      <w:r>
        <w:rPr>
          <w:highlight w:val="yellow"/>
        </w:rPr>
        <w:t xml:space="preserve">Cet accompagnement couvre, sans limitation de volume ni facturation complémentaire, les corrections, les évolutions de compatibilité avec les nouvelles versions des navigateurs et les adaptations rendues nécessaires par les mises à jour des services tiers utilisés par le site.</w:t>
      </w:r>
      <w:commentRangeEnd w:id="52"/>
      <w:r>
        <w:rPr>
          <w:rStyle w:val="CommentReference"/>
        </w:rPr>
        <w:commentReference w:id="52"/>
      </w:r>
      <w:r>
        <w:t xml:space="preserve"> Les demandes passent par l’interlocuteur désigné ; les nouvelles fonctions sans lien avec ces adaptations font l’objet d’un devis.</w:t>
      </w:r>
    </w:p>
    <w:p>
      <w:r>
        <w:t xml:space="preserve">B.3 </w:t>
      </w:r>
      <w:commentRangeStart w:id="53"/>
      <w:r>
        <w:rPr>
          <w:highlight w:val="yellow"/>
        </w:rPr>
        <w:t xml:space="preserve">En cas de défaillance imputable au Prestataire empêchant l’usage d’une fonction prévue en annexe A, le Client lui notifie les éléments de diagnostic. À défaut de correction dans les dix jours ouvrés, le Client peut confier les mesures de continuité à un tiers. Les frais ainsi engagés, au sens de l’article 2.3, sont remboursables sur justificatifs, sans limitation contractuelle de montant ; le Client évite toute dépense inutile et transmet le détail des interventions.</w:t>
      </w:r>
      <w:commentRangeEnd w:id="53"/>
      <w:r>
        <w:rPr>
          <w:rStyle w:val="CommentReference"/>
        </w:rPr>
        <w:commentReference w:id="53"/>
      </w:r>
    </w:p>
    <w:p>
      <w:r>
        <w:t xml:space="preserve">B.4 </w:t>
      </w:r>
      <w:commentRangeStart w:id="54"/>
      <w:r>
        <w:rPr>
          <w:highlight w:val="yellow"/>
        </w:rPr>
        <w:t xml:space="preserve">Les comptes d’hébergement et le nom de domaine restent sous le contrôle du Client.</w:t>
      </w:r>
      <w:commentRangeEnd w:id="54"/>
      <w:r>
        <w:rPr>
          <w:rStyle w:val="CommentReference"/>
        </w:rPr>
        <w:commentReference w:id="54"/>
      </w:r>
      <w:r>
        <w:t xml:space="preserve"> À la fin de l’accompagnement, le Prestataire supprime ses accès et transmet la dernière documentation disponible. Toute prestation ultérieure nécessite un nouvel accord écrit.</w:t>
      </w:r>
    </w:p>
    <w:p>
      <w:r>
        <w:t xml:space="preserve">Fait en deux exemplaires. </w:t>
      </w:r>
      <w:commentRangeStart w:id="55"/>
      <w:r>
        <w:rPr>
          <w:highlight w:val="yellow"/>
        </w:rPr>
        <w:t xml:space="preserve">Les parties reconnaissent avoir reçu le contrat et ses annexes A et B avant signature.</w:t>
      </w:r>
      <w:commentRangeEnd w:id="55"/>
      <w:r>
        <w:rPr>
          <w:rStyle w:val="CommentReference"/>
        </w:rPr>
        <w:commentReference w:id="55"/>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 w:date="2026-09-30T10:28:53Z" w:initials="C">
    <w:p w14:paraId="10000001" w14:textId="77777777">
      <w:pPr>
        <w:pStyle w:val="CommentText"/>
      </w:pPr>
      <w:r>
        <w:rPr>
          <w:rStyle w:val="CommentReference"/>
        </w:rPr>
        <w:annotationRef/>
      </w:r>
      <w:r>
        <w:rPr>
          <w:b/>
        </w:rPr>
        <w:t xml:space="preserve">RISQUE 8/17 — Périmètre élargi par un simple courriel · passage lié</w:t>
      </w:r>
    </w:p>
    <w:p w14:paraId="10000002" w14:textId="77777777">
      <w:pPr>
        <w:pStyle w:val="CommentText"/>
      </w:pPr>
      <w:r>
        <w:t xml:space="preserve">Les adresses ne figurent pas au contrat : le délai de deux jours ouvrés de 4.2 court de l’envoi du courriel, quel que soit le moment de l’envoi (vendredi soir, fêtes), et même si le message tombe dans les indésirables.</w:t>
      </w:r>
    </w:p>
    <w:p w14:paraId="10000003" w14:textId="77777777">
      <w:pPr>
        <w:pStyle w:val="CommentText"/>
      </w:pPr>
      <w:r>
        <w:rPr>
          <w:i/>
        </w:rPr>
        <w:t xml:space="preserve">Explication complète : commentaire sur l’article 4.2. Autres passages liés : 4.2 ; 1.2 (modifications) ; 3.3 ; 4.1 (devis) ; 4.3 (repli, en vert).</w:t>
      </w:r>
    </w:p>
  </w:comment>
  <w:comment w:id="1" w:author="Claude" w:date="2026-09-30T10:28:53Z" w:initials="C">
    <w:p w14:paraId="10000004" w14:textId="77777777">
      <w:pPr>
        <w:pStyle w:val="CommentText"/>
      </w:pPr>
      <w:r>
        <w:rPr>
          <w:rStyle w:val="CommentReference"/>
        </w:rPr>
        <w:annotationRef/>
      </w:r>
      <w:r>
        <w:rPr>
          <w:b/>
        </w:rPr>
        <w:t xml:space="preserve">RISQUE 17/17 — Points secondaires : clause d’intégralité · gravité du risque 17 : faible à modéré</w:t>
      </w:r>
    </w:p>
    <w:p w14:paraId="10000005" w14:textId="77777777">
      <w:pPr>
        <w:pStyle w:val="CommentText"/>
      </w:pPr>
      <w:r>
        <w:t xml:space="preserve">Le devis, les hypothèses et les conditions générales du Prestataire ne comptent pas. Combinée à la mention finale de réception des annexes avant signature, cette clause empêche de plaider la surprise sur l’annexe B.</w:t>
      </w:r>
    </w:p>
    <w:p w14:paraId="10000006" w14:textId="77777777">
      <w:pPr>
        <w:pStyle w:val="CommentText"/>
      </w:pPr>
      <w:r>
        <w:rPr>
          <w:i/>
        </w:rPr>
        <w:t xml:space="preserve">Passages liés à ce point (surlignés et commentés) : mention finale (réception des annexes).</w:t>
      </w:r>
    </w:p>
  </w:comment>
  <w:comment w:id="2" w:author="Claude" w:date="2026-09-30T10:28:53Z" w:initials="C">
    <w:p w14:paraId="10000007" w14:textId="77777777">
      <w:pPr>
        <w:pStyle w:val="CommentText"/>
      </w:pPr>
      <w:r>
        <w:rPr>
          <w:rStyle w:val="CommentReference"/>
        </w:rPr>
        <w:annotationRef/>
      </w:r>
      <w:r>
        <w:rPr>
          <w:b/>
        </w:rPr>
        <w:t xml:space="preserve">RISQUE 17/17 — Points secondaires : hiérarchie des documents · gravité du risque 17 : faible à modéré</w:t>
      </w:r>
    </w:p>
    <w:p w14:paraId="10000008" w14:textId="77777777">
      <w:pPr>
        <w:pStyle w:val="CommentText"/>
      </w:pPr>
      <w:r>
        <w:t xml:space="preserve">La hiérarchie ne protège pas le Prestataire : le corps renvoie lui-même à l’annexe B (2.2, 12.2), ce qui intègre ses pièges.</w:t>
      </w:r>
    </w:p>
    <w:p w14:paraId="10000009" w14:textId="77777777">
      <w:pPr>
        <w:pStyle w:val="CommentText"/>
      </w:pPr>
    </w:p>
    <w:p w14:paraId="1000000A" w14:textId="77777777">
      <w:pPr>
        <w:pStyle w:val="CommentText"/>
      </w:pPr>
      <w:r>
        <w:rPr>
          <w:b/>
        </w:rPr>
        <w:t xml:space="preserve">RISQUE 14/17 — Recette technique répétable et élargissable · passage lié</w:t>
      </w:r>
    </w:p>
    <w:p w14:paraId="1000000B" w14:textId="77777777">
      <w:pPr>
        <w:pStyle w:val="CommentText"/>
      </w:pPr>
      <w:r>
        <w:t xml:space="preserve">La primauté du corps « en cas de contradiction » permet au Client de soutenir que la définition large de 2.2 l’emporte sur la liste de A.2.</w:t>
      </w:r>
    </w:p>
    <w:p w14:paraId="1000000C" w14:textId="77777777">
      <w:pPr>
        <w:pStyle w:val="CommentText"/>
      </w:pPr>
      <w:r>
        <w:rPr>
          <w:i/>
        </w:rPr>
        <w:t xml:space="preserve">Explication complète : commentaire sur l’article 6.1. Autres passages liés : 6.1 ; 2.2 (recette technique) ; A.2.</w:t>
      </w:r>
    </w:p>
  </w:comment>
  <w:comment w:id="3" w:author="Claude" w:date="2026-09-30T10:28:53Z" w:initials="C">
    <w:p w14:paraId="1000000D" w14:textId="77777777">
      <w:pPr>
        <w:pStyle w:val="CommentText"/>
      </w:pPr>
      <w:r>
        <w:rPr>
          <w:rStyle w:val="CommentReference"/>
        </w:rPr>
        <w:annotationRef/>
      </w:r>
      <w:r>
        <w:rPr>
          <w:b/>
        </w:rPr>
        <w:t xml:space="preserve">RISQUE 8/17 — Périmètre élargi par un simple courriel · passage lié</w:t>
      </w:r>
    </w:p>
    <w:p w14:paraId="1000000E" w14:textId="77777777">
      <w:pPr>
        <w:pStyle w:val="CommentText"/>
      </w:pPr>
      <w:r>
        <w:t xml:space="preserve">Exception expresse à l’exigence d’un accord écrit : la procédure de 4.2 modifie le contrat sans signature.</w:t>
      </w:r>
    </w:p>
    <w:p w14:paraId="1000000F" w14:textId="77777777">
      <w:pPr>
        <w:pStyle w:val="CommentText"/>
      </w:pPr>
      <w:r>
        <w:rPr>
          <w:i/>
        </w:rPr>
        <w:t xml:space="preserve">Explication complète : commentaire sur l’article 4.2. Autres passages liés : 4.2 ; préambule (coordonnées) ; 3.3 ; 4.1 (devis) ; 4.3 (repli, en vert).</w:t>
      </w:r>
    </w:p>
  </w:comment>
  <w:comment w:id="4" w:author="Claude" w:date="2026-09-30T10:28:53Z" w:initials="C">
    <w:p w14:paraId="10000010" w14:textId="77777777">
      <w:pPr>
        <w:pStyle w:val="CommentText"/>
      </w:pPr>
      <w:r>
        <w:rPr>
          <w:rStyle w:val="CommentReference"/>
        </w:rPr>
        <w:annotationRef/>
      </w:r>
      <w:r>
        <w:rPr>
          <w:b/>
        </w:rPr>
        <w:t xml:space="preserve">RISQUE 15/17 — Livraison mal définie et dépendante du Client · gravité : modéré</w:t>
      </w:r>
    </w:p>
    <w:p w14:paraId="10000011" w14:textId="77777777">
      <w:pPr>
        <w:pStyle w:val="CommentText"/>
      </w:pPr>
      <w:r>
        <w:t xml:space="preserve">Le contrat ne dit pas qui fournit l’environnement de préproduction (5.1). Les accès techniques du Client ne sont attendus qu’à titre d’objectif (A.3). « Une version » n’est pas définie : le Client peut refuser de reconnaître comme « livraison » une version incomplète, ou une remise sans code (9.3), sans liste des licences (9.1) ou sans notice de déploiement (5.1), et laisser courir les pénalités (8.1). Exemple : accès fournis le 04/12, préproduction déployée le 07/12, soit 4 200 € réclamables. L’imputabilité est défendable.</w:t>
      </w:r>
    </w:p>
    <w:p w14:paraId="10000012" w14:textId="77777777">
      <w:pPr>
        <w:pStyle w:val="CommentText"/>
      </w:pPr>
      <w:r>
        <w:rPr>
          <w:i/>
        </w:rPr>
        <w:t xml:space="preserve">Passages liés à ce risque (surlignés et commentés) : 5.1 (préproduction) ; 5.1 (notice de déploiement) ; 8.1 ; 9.1 (liste des licences) ; 9.3 ; A.3.</w:t>
      </w:r>
    </w:p>
  </w:comment>
  <w:comment w:id="5" w:author="Claude" w:date="2026-09-30T10:28:53Z" w:initials="C">
    <w:p w14:paraId="10000013" w14:textId="77777777">
      <w:pPr>
        <w:pStyle w:val="CommentText"/>
      </w:pPr>
      <w:r>
        <w:rPr>
          <w:rStyle w:val="CommentReference"/>
        </w:rPr>
        <w:annotationRef/>
      </w:r>
      <w:r>
        <w:rPr>
          <w:b/>
        </w:rPr>
        <w:t xml:space="preserve">RISQUE 14/17 — Recette technique répétable et élargissable · passage lié</w:t>
      </w:r>
    </w:p>
    <w:p w14:paraId="10000014" w14:textId="77777777">
      <w:pPr>
        <w:pStyle w:val="CommentText"/>
      </w:pPr>
      <w:r>
        <w:t xml:space="preserve">Définition large (« fonctions prévues en annexe A ») que le Client peut opposer aux cinq vérifications limitées de A.2.</w:t>
      </w:r>
    </w:p>
    <w:p w14:paraId="10000015" w14:textId="77777777">
      <w:pPr>
        <w:pStyle w:val="CommentText"/>
      </w:pPr>
      <w:r>
        <w:rPr>
          <w:i/>
        </w:rPr>
        <w:t xml:space="preserve">Explication complète : commentaire sur l’article 6.1. Autres passages liés : 6.1 ; 1.2 (hiérarchie) ; A.2.</w:t>
      </w:r>
    </w:p>
  </w:comment>
  <w:comment w:id="6" w:author="Claude" w:date="2026-09-30T10:28:53Z" w:initials="C">
    <w:p w14:paraId="10000016" w14:textId="77777777">
      <w:pPr>
        <w:pStyle w:val="CommentText"/>
      </w:pPr>
      <w:r>
        <w:rPr>
          <w:rStyle w:val="CommentReference"/>
        </w:rPr>
        <w:annotationRef/>
      </w:r>
      <w:r>
        <w:rPr>
          <w:b/>
        </w:rPr>
        <w:t xml:space="preserve">RISQUE 1/17 — Solde de 8 400 € HT suspendu au visa d’un tiers · passage lié</w:t>
      </w:r>
    </w:p>
    <w:p w14:paraId="10000017" w14:textId="77777777">
      <w:pPr>
        <w:pStyle w:val="CommentText"/>
      </w:pPr>
      <w:r>
        <w:t xml:space="preserve">Définit la recette définitive par renvoi à l’annexe B : c’est le maillon qui rattache le paiement du solde au visa du partenaire (B.1). La mise en production ne suffit pas.</w:t>
      </w:r>
    </w:p>
    <w:p w14:paraId="10000018" w14:textId="77777777">
      <w:pPr>
        <w:pStyle w:val="CommentText"/>
      </w:pPr>
      <w:r>
        <w:rPr>
          <w:i/>
        </w:rPr>
        <w:t xml:space="preserve">Explication complète : commentaire sur l’article 7.2 (solde). Autres passages liés : 7.2 (solde) ; 6.1 ; 6.2 (procès-verbal) ; 7.2 (facture de solde exclue) ; 7.3 ; 15.1 (phase amiable) ; A.3 ; B.1 ; B.2 (durée de l’accompagnement).</w:t>
      </w:r>
    </w:p>
    <w:p w14:paraId="10000019" w14:textId="77777777">
      <w:pPr>
        <w:pStyle w:val="CommentText"/>
      </w:pPr>
    </w:p>
    <w:p w14:paraId="1000001A" w14:textId="77777777">
      <w:pPr>
        <w:pStyle w:val="CommentText"/>
      </w:pPr>
      <w:r>
        <w:rPr>
          <w:b/>
        </w:rPr>
        <w:t xml:space="preserve">RISQUE 2/17 — Résiliation pour convenance : site gratuit et acompte à rendre · passage lié</w:t>
      </w:r>
    </w:p>
    <w:p w14:paraId="1000001B" w14:textId="77777777">
      <w:pPr>
        <w:pStyle w:val="CommentText"/>
      </w:pPr>
      <w:r>
        <w:t xml:space="preserve">La recette définitive exigeant le visa du partenaire, aucun livrable n’est « définitivement réceptionné » avant ce visa : en cas de résiliation pour convenance, la rémunération tombe à 0 €.</w:t>
      </w:r>
    </w:p>
    <w:p w14:paraId="1000001C" w14:textId="77777777">
      <w:pPr>
        <w:pStyle w:val="CommentText"/>
      </w:pPr>
      <w:r>
        <w:rPr>
          <w:i/>
        </w:rPr>
        <w:t xml:space="preserve">Explication complète : commentaire sur l’article 14.2. Autres passages liés : 14.2 ; 7.1 (prix forfaitaire) ; 7.2 (paiement à 30 jours) ; 9.2 ; 9.3 ; B.1 ; B.3.</w:t>
      </w:r>
    </w:p>
  </w:comment>
  <w:comment w:id="7" w:author="Claude" w:date="2026-09-30T10:28:53Z" w:initials="C">
    <w:p w14:paraId="1000001D" w14:textId="77777777">
      <w:pPr>
        <w:pStyle w:val="CommentText"/>
      </w:pPr>
      <w:r>
        <w:rPr>
          <w:rStyle w:val="CommentReference"/>
        </w:rPr>
        <w:annotationRef/>
      </w:r>
      <w:r>
        <w:rPr>
          <w:b/>
        </w:rPr>
        <w:t xml:space="preserve">RISQUE 6/17 — Frais de tiers (« frais de continuité ») remboursables sans limite · passage lié</w:t>
      </w:r>
    </w:p>
    <w:p w14:paraId="1000001E" w14:textId="77777777">
      <w:pPr>
        <w:pStyle w:val="CommentText"/>
      </w:pPr>
      <w:r>
        <w:t xml:space="preserve">La définition qualifie ces frais d’« obligation de remboursement distincte des dommages et intérêts » : c’est ce qui permet de les sortir du plafond (12.2). Elle couvre aussi le « remplacement » du livrable, la reprise de code, la migration et la reconstitution de données.</w:t>
      </w:r>
    </w:p>
    <w:p w14:paraId="1000001F" w14:textId="77777777">
      <w:pPr>
        <w:pStyle w:val="CommentText"/>
      </w:pPr>
      <w:r>
        <w:rPr>
          <w:i/>
        </w:rPr>
        <w:t xml:space="preserve">Explication complète : commentaire sur la clause B.3. Autres passages liés : B.3 ; 5.1 (accès) ; 5.2 (hébergement et services tiers) ; 12.2 ; B.2 (étendue de l’accompagnement) ; B.4.</w:t>
      </w:r>
    </w:p>
    <w:p w14:paraId="10000020" w14:textId="77777777">
      <w:pPr>
        <w:pStyle w:val="CommentText"/>
      </w:pPr>
    </w:p>
    <w:p w14:paraId="10000021" w14:textId="77777777">
      <w:pPr>
        <w:pStyle w:val="CommentText"/>
      </w:pPr>
      <w:r>
        <w:rPr>
          <w:b/>
        </w:rPr>
        <w:t xml:space="preserve">RISQUE 7/17 — Plafond de responsabilité en trompe-l’œil · passage lié</w:t>
      </w:r>
    </w:p>
    <w:p w14:paraId="10000022" w14:textId="77777777">
      <w:pPr>
        <w:pStyle w:val="CommentText"/>
      </w:pPr>
      <w:r>
        <w:t xml:space="preserve">En qualifiant les frais de continuité d’obligation de remboursement « distincte des dommages et intérêts », la définition les soustrait au plafond de 12.1.</w:t>
      </w:r>
    </w:p>
    <w:p w14:paraId="10000023" w14:textId="77777777">
      <w:pPr>
        <w:pStyle w:val="CommentText"/>
      </w:pPr>
      <w:r>
        <w:rPr>
          <w:i/>
        </w:rPr>
        <w:t xml:space="preserve">Explication complète : commentaire sur l’article 12.1. Autres passages liés : 12.1 ; 12.2.</w:t>
      </w:r>
    </w:p>
    <w:p w14:paraId="10000024" w14:textId="77777777">
      <w:pPr>
        <w:pStyle w:val="CommentText"/>
      </w:pPr>
    </w:p>
    <w:p w14:paraId="10000025" w14:textId="77777777">
      <w:pPr>
        <w:pStyle w:val="CommentText"/>
      </w:pPr>
      <w:r>
        <w:rPr>
          <w:b/>
        </w:rPr>
        <w:t xml:space="preserve">RISQUE 17/17 — Points secondaires : intitulés trompeurs · passage lié</w:t>
      </w:r>
    </w:p>
    <w:p w14:paraId="10000026" w14:textId="77777777">
      <w:pPr>
        <w:pStyle w:val="CommentText"/>
      </w:pPr>
      <w:r>
        <w:t xml:space="preserve">Intitulé trompeur : les « Frais de continuité » sont en réalité une responsabilité sans plafond.</w:t>
      </w:r>
    </w:p>
    <w:p w14:paraId="10000027" w14:textId="77777777">
      <w:pPr>
        <w:pStyle w:val="CommentText"/>
      </w:pPr>
      <w:r>
        <w:rPr>
          <w:i/>
        </w:rPr>
        <w:t xml:space="preserve">Explication complète : commentaire sur le titre de l’article 13. Autres passages liés : article 13 (titre) ; 10.2.</w:t>
      </w:r>
    </w:p>
  </w:comment>
  <w:comment w:id="8" w:author="Claude" w:date="2026-09-30T10:28:53Z" w:initials="C">
    <w:p w14:paraId="10000028" w14:textId="77777777">
      <w:pPr>
        <w:pStyle w:val="CommentText"/>
      </w:pPr>
      <w:r>
        <w:rPr>
          <w:rStyle w:val="CommentReference"/>
        </w:rPr>
        <w:annotationRef/>
      </w:r>
      <w:r>
        <w:rPr>
          <w:b/>
        </w:rPr>
        <w:t xml:space="preserve">RISQUE 4/17 — Date de livraison figée malgré les retards du Client · passage lié</w:t>
      </w:r>
    </w:p>
    <w:p w14:paraId="10000029" w14:textId="77777777">
      <w:pPr>
        <w:pStyle w:val="CommentText"/>
      </w:pPr>
      <w:r>
        <w:t xml:space="preserve">La suspension formelle exige un écrit signé des deux parties : le Client a la main sur tout report. Les demandes d’information, périodes d’attente et indisponibilités d’un interlocuteur sont expressément exclues (sur la maladie, voir 15.1 : la force majeure n’est pas définie).</w:t>
      </w:r>
    </w:p>
    <w:p w14:paraId="1000002A" w14:textId="77777777">
      <w:pPr>
        <w:pStyle w:val="CommentText"/>
      </w:pPr>
      <w:r>
        <w:rPr>
          <w:i/>
        </w:rPr>
        <w:t xml:space="preserve">Explication complète : commentaire sur l’article 3.3. Autres passages liés : 3.3 ; 3.2 (traçabilité, en vert) ; 8.1 ; 15.1 (force majeure) ; A.3.</w:t>
      </w:r>
    </w:p>
    <w:p w14:paraId="1000002B" w14:textId="77777777">
      <w:pPr>
        <w:pStyle w:val="CommentText"/>
      </w:pPr>
    </w:p>
    <w:p w14:paraId="1000002C" w14:textId="77777777">
      <w:pPr>
        <w:pStyle w:val="CommentText"/>
      </w:pPr>
      <w:r>
        <w:rPr>
          <w:b/>
        </w:rPr>
        <w:t xml:space="preserve">RISQUE 13/17 — Acompte tardif et suspension sans effet sur la date · passage lié</w:t>
      </w:r>
    </w:p>
    <w:p w14:paraId="1000002D" w14:textId="77777777">
      <w:pPr>
        <w:pStyle w:val="CommentText"/>
      </w:pPr>
      <w:r>
        <w:t xml:space="preserve">La suspension pour impayé de 7.3 est décidée par le seul Prestataire, sans écrit signé des deux parties : ce n’est donc pas une suspension formelle, et elle ne décale pas la date de livraison.</w:t>
      </w:r>
    </w:p>
    <w:p w14:paraId="1000002E" w14:textId="77777777">
      <w:pPr>
        <w:pStyle w:val="CommentText"/>
      </w:pPr>
      <w:r>
        <w:rPr>
          <w:i/>
        </w:rPr>
        <w:t xml:space="preserve">Explication complète : commentaire sur l’article 7.3. Autres passages liés : 7.3 ; 3.3 ; 7.2 (acompte) ; 7.2 (paiement à 30 jours) ; 8.1.</w:t>
      </w:r>
    </w:p>
  </w:comment>
  <w:comment w:id="9" w:author="Claude" w:date="2026-09-30T10:28:53Z" w:initials="C">
    <w:p w14:paraId="1000002F" w14:textId="77777777">
      <w:pPr>
        <w:pStyle w:val="CommentText"/>
      </w:pPr>
      <w:r>
        <w:rPr>
          <w:rStyle w:val="CommentReference"/>
        </w:rPr>
        <w:annotationRef/>
      </w:r>
      <w:r>
        <w:rPr>
          <w:b/>
        </w:rPr>
        <w:t xml:space="preserve">RISQUE 10/17 — Contrat sans fin certaine, sans sortie pour le Prestataire · passage lié</w:t>
      </w:r>
    </w:p>
    <w:p w14:paraId="10000030" w14:textId="77777777">
      <w:pPr>
        <w:pStyle w:val="CommentText"/>
      </w:pPr>
      <w:r>
        <w:t xml:space="preserve">Ce point hebdomadaire pourrait rester dû tant que le contrat n’a pas pris fin ; or cette fin dépend du Client.</w:t>
      </w:r>
    </w:p>
    <w:p w14:paraId="10000031" w14:textId="77777777">
      <w:pPr>
        <w:pStyle w:val="CommentText"/>
      </w:pPr>
      <w:r>
        <w:rPr>
          <w:i/>
        </w:rPr>
        <w:t xml:space="preserve">Explication complète : commentaire sur l’article 14.1. Autres passages liés : 14.1 ; 5.2 (hébergement et services tiers) ; 11.1 (confidentialité) ; 12.3 (assurance) ; 13.1 ; 14.2 ; 14.3 ; A.3 ; B.2 (durée de l’accompagnement) ; B.4.</w:t>
      </w:r>
    </w:p>
    <w:p w14:paraId="10000032" w14:textId="77777777">
      <w:pPr>
        <w:pStyle w:val="CommentText"/>
      </w:pPr>
    </w:p>
    <w:p w14:paraId="10000033" w14:textId="77777777">
      <w:pPr>
        <w:pStyle w:val="CommentText"/>
      </w:pPr>
      <w:r>
        <w:rPr>
          <w:b/>
        </w:rPr>
        <w:t xml:space="preserve">RISQUE 11/17 — 24 mois de maintenance illimitée inclus dans le prix · passage lié</w:t>
      </w:r>
    </w:p>
    <w:p w14:paraId="10000034" w14:textId="77777777">
      <w:pPr>
        <w:pStyle w:val="CommentText"/>
      </w:pPr>
      <w:r>
        <w:t xml:space="preserve">Ce point hebdomadaire de 30 minutes pourrait être exigé pendant toute la durée du contrat, accompagnement compris (environ 118 réunions) ; lecture contestable.</w:t>
      </w:r>
    </w:p>
    <w:p w14:paraId="10000035" w14:textId="77777777">
      <w:pPr>
        <w:pStyle w:val="CommentText"/>
      </w:pPr>
      <w:r>
        <w:rPr>
          <w:i/>
        </w:rPr>
        <w:t xml:space="preserve">Explication complète : commentaire sur la clause B.2 (étendue de l’accompagnement). Autres passages liés : B.2 (étendue de l’accompagnement) ; 5.2 (hébergement et services tiers) ; A.2 ; B.2 (durée de l’accompagnement).</w:t>
      </w:r>
    </w:p>
  </w:comment>
  <w:comment w:id="10" w:author="Claude" w:date="2026-09-30T10:28:53Z" w:initials="C">
    <w:p w14:paraId="10000036" w14:textId="77777777">
      <w:pPr>
        <w:pStyle w:val="CommentText"/>
      </w:pPr>
      <w:r>
        <w:rPr>
          <w:rStyle w:val="CommentReference"/>
        </w:rPr>
        <w:annotationRef/>
      </w:r>
      <w:r>
        <w:rPr>
          <w:b/>
        </w:rPr>
        <w:t xml:space="preserve">RISQUE 4/17 — Date de livraison figée malgré les retards du Client · passage lié favorable au Prestataire</w:t>
      </w:r>
    </w:p>
    <w:p w14:paraId="10000037" w14:textId="77777777">
      <w:pPr>
        <w:pStyle w:val="CommentText"/>
      </w:pPr>
      <w:r>
        <w:t xml:space="preserve">Surligné en vert. Signaler « sans délai » les informations manquantes et en garder la trace est le moyen de prouver qu’un retard n’est pas imputable au Prestataire (8.1). Son importance est vitale.</w:t>
      </w:r>
    </w:p>
    <w:p w14:paraId="10000038" w14:textId="77777777">
      <w:pPr>
        <w:pStyle w:val="CommentText"/>
      </w:pPr>
      <w:r>
        <w:rPr>
          <w:i/>
        </w:rPr>
        <w:t xml:space="preserve">Explication complète : commentaire sur l’article 3.3. Autres passages liés : 3.3 ; 2.4 ; 8.1 ; 15.1 (force majeure) ; A.3.</w:t>
      </w:r>
    </w:p>
  </w:comment>
  <w:comment w:id="11" w:author="Claude" w:date="2026-09-30T10:28:53Z" w:initials="C">
    <w:p w14:paraId="10000039" w14:textId="77777777">
      <w:pPr>
        <w:pStyle w:val="CommentText"/>
      </w:pPr>
      <w:r>
        <w:rPr>
          <w:rStyle w:val="CommentReference"/>
        </w:rPr>
        <w:annotationRef/>
      </w:r>
      <w:r>
        <w:rPr>
          <w:b/>
        </w:rPr>
        <w:t xml:space="preserve">RISQUE 4/17 — Date de livraison figée malgré les retards du Client · gravité : critique</w:t>
      </w:r>
    </w:p>
    <w:p w14:paraId="1000003A" w14:textId="77777777">
      <w:pPr>
        <w:pStyle w:val="CommentText"/>
      </w:pPr>
      <w:r>
        <w:t xml:space="preserve">Hors force majeure, seuls une suspension formelle (écrit signé des deux parties, 2.4) ou un avenant signé décalent la date du 30/11/2026 : dans les deux cas, il faut la signature du Client. Un report accepté oralement en réunion, un planning mis à jour ou un compte rendu ne suffisent pas. Les dates de contribution du Client (textes au 12/10, maquettes au 23/10, accès au 6/11) ne sont que des objectifs (A.3), et aucune validation tacite des maquettes n’est prévue. La force majeure n’est pas définie (15.1) : une maladie de l’entrepreneur individuel, qui travaille seul, reste exposée. Exemples : maquettes validées le 13/11 au lieu du 23/10 → la fenêtre de développement passe de 25 à 11 jours ouvrés ; garder 25 jours conduit à livrer le 18/12, soit 18 jours de retard et 10 800 € de pénalités réclamables. Maladie du 09/11 au 22/11 → 9 jours ouvrés perdus, livraison vers le 11/12, 6 600 € réclamables. Nuance : les pénalités exigent un retard « imputable au Prestataire » (8.1). Un retard causé par le Client est défendable, mais le Client peut appliquer et déduire les pénalités, et c’est au Prestataire de contester (d’où l’importance de 3.2).</w:t>
      </w:r>
    </w:p>
    <w:p w14:paraId="1000003B" w14:textId="77777777">
      <w:pPr>
        <w:pStyle w:val="CommentText"/>
      </w:pPr>
      <w:r>
        <w:rPr>
          <w:i/>
        </w:rPr>
        <w:t xml:space="preserve">Passages liés à ce risque (surlignés et commentés) : 2.4 ; 3.2 (traçabilité, en vert) ; 8.1 ; 15.1 (force majeure) ; A.3.</w:t>
      </w:r>
    </w:p>
    <w:p w14:paraId="1000003C" w14:textId="77777777">
      <w:pPr>
        <w:pStyle w:val="CommentText"/>
      </w:pPr>
    </w:p>
    <w:p w14:paraId="1000003D" w14:textId="77777777">
      <w:pPr>
        <w:pStyle w:val="CommentText"/>
      </w:pPr>
      <w:r>
        <w:rPr>
          <w:b/>
        </w:rPr>
        <w:t xml:space="preserve">RISQUE 8/17 — Périmètre élargi par un simple courriel · passage lié</w:t>
      </w:r>
    </w:p>
    <w:p w14:paraId="1000003E" w14:textId="77777777">
      <w:pPr>
        <w:pStyle w:val="CommentText"/>
      </w:pPr>
      <w:r>
        <w:t xml:space="preserve">Les précisions de 4.2 étant réputées comprises dans le calendrier initial, et seuls les avenants signés décalant la date, les ajouts ne donnent droit à aucun report.</w:t>
      </w:r>
    </w:p>
    <w:p w14:paraId="1000003F" w14:textId="77777777">
      <w:pPr>
        <w:pStyle w:val="CommentText"/>
      </w:pPr>
      <w:r>
        <w:rPr>
          <w:i/>
        </w:rPr>
        <w:t xml:space="preserve">Explication complète : commentaire sur l’article 4.2. Autres passages liés : 4.2 ; préambule (coordonnées) ; 1.2 (modifications) ; 4.1 (devis) ; 4.3 (repli, en vert).</w:t>
      </w:r>
    </w:p>
    <w:p w14:paraId="10000040" w14:textId="77777777">
      <w:pPr>
        <w:pStyle w:val="CommentText"/>
      </w:pPr>
    </w:p>
    <w:p w14:paraId="10000041" w14:textId="77777777">
      <w:pPr>
        <w:pStyle w:val="CommentText"/>
      </w:pPr>
      <w:r>
        <w:rPr>
          <w:b/>
        </w:rPr>
        <w:t xml:space="preserve">RISQUE 13/17 — Acompte tardif et suspension sans effet sur la date · passage lié</w:t>
      </w:r>
    </w:p>
    <w:p w14:paraId="10000042" w14:textId="77777777">
      <w:pPr>
        <w:pStyle w:val="CommentText"/>
      </w:pPr>
      <w:r>
        <w:t xml:space="preserve">Seule une suspension formelle décale la date : la suspension pour impayé (7.3) laisse courir l’échéance du 30/11.</w:t>
      </w:r>
    </w:p>
    <w:p w14:paraId="10000043" w14:textId="77777777">
      <w:pPr>
        <w:pStyle w:val="CommentText"/>
      </w:pPr>
      <w:r>
        <w:rPr>
          <w:i/>
        </w:rPr>
        <w:t xml:space="preserve">Explication complète : commentaire sur l’article 7.3. Autres passages liés : 7.3 ; 2.4 ; 7.2 (acompte) ; 7.2 (paiement à 30 jours) ; 8.1.</w:t>
      </w:r>
    </w:p>
  </w:comment>
  <w:comment w:id="12" w:author="Claude" w:date="2026-09-30T10:28:53Z" w:initials="C">
    <w:p w14:paraId="10000044" w14:textId="77777777">
      <w:pPr>
        <w:pStyle w:val="CommentText"/>
      </w:pPr>
      <w:r>
        <w:rPr>
          <w:rStyle w:val="CommentReference"/>
        </w:rPr>
        <w:annotationRef/>
      </w:r>
      <w:r>
        <w:rPr>
          <w:b/>
        </w:rPr>
        <w:t xml:space="preserve">RISQUE 8/17 — Périmètre élargi par un simple courriel · passage lié</w:t>
      </w:r>
    </w:p>
    <w:p w14:paraId="10000045" w14:textId="77777777">
      <w:pPr>
        <w:pStyle w:val="CommentText"/>
      </w:pPr>
      <w:r>
        <w:t xml:space="preserve">Le devis préalable n’est exigé que « normalement » : le mot affaiblit la règle, que 4.2 contourne de toute façon.</w:t>
      </w:r>
    </w:p>
    <w:p w14:paraId="10000046" w14:textId="77777777">
      <w:pPr>
        <w:pStyle w:val="CommentText"/>
      </w:pPr>
      <w:r>
        <w:rPr>
          <w:i/>
        </w:rPr>
        <w:t xml:space="preserve">Explication complète : commentaire sur l’article 4.2. Autres passages liés : 4.2 ; préambule (coordonnées) ; 1.2 (modifications) ; 3.3 ; 4.3 (repli, en vert).</w:t>
      </w:r>
    </w:p>
  </w:comment>
  <w:comment w:id="13" w:author="Claude" w:date="2026-09-30T10:28:53Z" w:initials="C">
    <w:p w14:paraId="10000047" w14:textId="77777777">
      <w:pPr>
        <w:pStyle w:val="CommentText"/>
      </w:pPr>
      <w:r>
        <w:rPr>
          <w:rStyle w:val="CommentReference"/>
        </w:rPr>
        <w:annotationRef/>
      </w:r>
      <w:r>
        <w:rPr>
          <w:b/>
        </w:rPr>
        <w:t xml:space="preserve">RISQUE 8/17 — Périmètre élargi par un simple courriel · gravité : critique</w:t>
      </w:r>
    </w:p>
    <w:p w14:paraId="10000048" w14:textId="77777777">
      <w:pPr>
        <w:pStyle w:val="CommentText"/>
      </w:pPr>
      <w:r>
        <w:t xml:space="preserve">Deux jours ouvrés de silence suffisent : la « précision » envoyée par courriel est intégrée à la fois au forfait et au calendrier initial, même si elle ajoute des écrans, des règles de gestion ou des connexions, sans avenant (1.2). Le Prestataire a plus de travail pour la même échéance, donc des pénalités probables (8.1). Ces ajouts sont ensuite à maintenir gratuitement pendant 24 mois (B.2) et entrent dans la recette. Le délai court de « l’envoi », alors que les adresses ne figurent pas au contrat (préambule) : un courriel du vendredi soir, pendant les fêtes ou tombé dans les indésirables suffit. Scénario : le jeudi 05/11 à 19 h, le Client écrit « la page expertises se décline en 8 sous-pages et chaque formulaire est connecté à notre CRM ». Sans objection le lundi 09/11, le site passe de 6 à environ 14 pages avec connexion au CRM, pour le même prix et la même date ; il faut environ 8 jours ouvrés de plus : livraison le 10/12, soit 6 000 € de pénalités en plus du travail non payé. Nuance : une objection envoyée à temps fait jouer 4.3 ; 4.2 ne vise que la précision de besoins déjà exprimés en annexe A ; une connexion traitant des données personnelles exige un cadre écrit préalable (11.2).</w:t>
      </w:r>
    </w:p>
    <w:p w14:paraId="10000049" w14:textId="77777777">
      <w:pPr>
        <w:pStyle w:val="CommentText"/>
      </w:pPr>
      <w:r>
        <w:rPr>
          <w:i/>
        </w:rPr>
        <w:t xml:space="preserve">Passages liés à ce risque (surlignés et commentés) : préambule (coordonnées) ; 1.2 (modifications) ; 3.3 ; 4.1 (devis) ; 4.3 (repli, en vert).</w:t>
      </w:r>
    </w:p>
  </w:comment>
  <w:comment w:id="14" w:author="Claude" w:date="2026-09-30T10:28:53Z" w:initials="C">
    <w:p w14:paraId="1000004A" w14:textId="77777777">
      <w:pPr>
        <w:pStyle w:val="CommentText"/>
      </w:pPr>
      <w:r>
        <w:rPr>
          <w:rStyle w:val="CommentReference"/>
        </w:rPr>
        <w:annotationRef/>
      </w:r>
      <w:r>
        <w:rPr>
          <w:b/>
        </w:rPr>
        <w:t xml:space="preserve">RISQUE 8/17 — Périmètre élargi par un simple courriel · passage lié favorable au Prestataire</w:t>
      </w:r>
    </w:p>
    <w:p w14:paraId="1000004B" w14:textId="77777777">
      <w:pPr>
        <w:pStyle w:val="CommentText"/>
      </w:pPr>
      <w:r>
        <w:t xml:space="preserve">Surligné en vert. Si l’objection est envoyée dans les deux jours ouvrés, le périmètre antérieur s’applique faute d’accord. Encore faut-il avoir vu le courriel à temps.</w:t>
      </w:r>
    </w:p>
    <w:p w14:paraId="1000004C" w14:textId="77777777">
      <w:pPr>
        <w:pStyle w:val="CommentText"/>
      </w:pPr>
      <w:r>
        <w:rPr>
          <w:i/>
        </w:rPr>
        <w:t xml:space="preserve">Explication complète : commentaire sur l’article 4.2. Autres passages liés : 4.2 ; préambule (coordonnées) ; 1.2 (modifications) ; 3.3 ; 4.1 (devis).</w:t>
      </w:r>
    </w:p>
  </w:comment>
  <w:comment w:id="15" w:author="Claude" w:date="2026-09-30T10:28:53Z" w:initials="C">
    <w:p w14:paraId="1000004D" w14:textId="77777777">
      <w:pPr>
        <w:pStyle w:val="CommentText"/>
      </w:pPr>
      <w:r>
        <w:rPr>
          <w:rStyle w:val="CommentReference"/>
        </w:rPr>
        <w:annotationRef/>
      </w:r>
      <w:r>
        <w:rPr>
          <w:b/>
        </w:rPr>
        <w:t xml:space="preserve">RISQUE 15/17 — Livraison mal définie et dépendante du Client · passage lié</w:t>
      </w:r>
    </w:p>
    <w:p w14:paraId="1000004E" w14:textId="77777777">
      <w:pPr>
        <w:pStyle w:val="CommentText"/>
      </w:pPr>
      <w:r>
        <w:t xml:space="preserve">L’environnement de préproduction est exigé, mais le contrat ne dit pas qui le fournit ; or la livraison (2.1) se fait sur cet environnement.</w:t>
      </w:r>
    </w:p>
    <w:p w14:paraId="1000004F" w14:textId="77777777">
      <w:pPr>
        <w:pStyle w:val="CommentText"/>
      </w:pPr>
      <w:r>
        <w:rPr>
          <w:i/>
        </w:rPr>
        <w:t xml:space="preserve">Explication complète : commentaire sur l’article 2.1 (définition de la livraison). Autres passages liés : 2.1 (définition de la livraison) ; 5.1 (notice de déploiement) ; 8.1 ; 9.1 (liste des licences) ; 9.3 ; A.3.</w:t>
      </w:r>
    </w:p>
  </w:comment>
  <w:comment w:id="16" w:author="Claude" w:date="2026-09-30T10:28:53Z" w:initials="C">
    <w:p w14:paraId="10000050" w14:textId="77777777">
      <w:pPr>
        <w:pStyle w:val="CommentText"/>
      </w:pPr>
      <w:r>
        <w:rPr>
          <w:rStyle w:val="CommentReference"/>
        </w:rPr>
        <w:annotationRef/>
      </w:r>
      <w:r>
        <w:rPr>
          <w:b/>
        </w:rPr>
        <w:t xml:space="preserve">RISQUE 6/17 — Frais de tiers (« frais de continuité ») remboursables sans limite · passage lié</w:t>
      </w:r>
    </w:p>
    <w:p w14:paraId="10000051" w14:textId="77777777">
      <w:pPr>
        <w:pStyle w:val="CommentText"/>
      </w:pPr>
      <w:r>
        <w:t xml:space="preserve">Les accès sont nominatifs : pour corriger dans les dix jours ouvrés de B.3, le Prestataire dépend d’accès que le Client délivre, et rien ne suspend le délai en leur absence.</w:t>
      </w:r>
    </w:p>
    <w:p w14:paraId="10000052" w14:textId="77777777">
      <w:pPr>
        <w:pStyle w:val="CommentText"/>
      </w:pPr>
      <w:r>
        <w:rPr>
          <w:i/>
        </w:rPr>
        <w:t xml:space="preserve">Explication complète : commentaire sur la clause B.3. Autres passages liés : B.3 ; 2.3 ; 5.2 (hébergement et services tiers) ; 12.2 ; B.2 (étendue de l’accompagnement) ; B.4.</w:t>
      </w:r>
    </w:p>
  </w:comment>
  <w:comment w:id="17" w:author="Claude" w:date="2026-09-30T10:28:53Z" w:initials="C">
    <w:p w14:paraId="10000053" w14:textId="77777777">
      <w:pPr>
        <w:pStyle w:val="CommentText"/>
      </w:pPr>
      <w:r>
        <w:rPr>
          <w:rStyle w:val="CommentReference"/>
        </w:rPr>
        <w:annotationRef/>
      </w:r>
      <w:r>
        <w:rPr>
          <w:b/>
        </w:rPr>
        <w:t xml:space="preserve">RISQUE 15/17 — Livraison mal définie et dépendante du Client · passage lié</w:t>
      </w:r>
    </w:p>
    <w:p w14:paraId="10000054" w14:textId="77777777">
      <w:pPr>
        <w:pStyle w:val="CommentText"/>
      </w:pPr>
      <w:r>
        <w:t xml:space="preserve">Une remise sans notice de déploiement peut être contestée comme livraison incomplète, et les pénalités peuvent alors continuer à courir.</w:t>
      </w:r>
    </w:p>
    <w:p w14:paraId="10000055" w14:textId="77777777">
      <w:pPr>
        <w:pStyle w:val="CommentText"/>
      </w:pPr>
      <w:r>
        <w:rPr>
          <w:i/>
        </w:rPr>
        <w:t xml:space="preserve">Explication complète : commentaire sur l’article 2.1 (définition de la livraison). Autres passages liés : 2.1 (définition de la livraison) ; 5.1 (préproduction) ; 8.1 ; 9.1 (liste des licences) ; 9.3 ; A.3.</w:t>
      </w:r>
    </w:p>
  </w:comment>
  <w:comment w:id="18" w:author="Claude" w:date="2026-09-30T10:28:53Z" w:initials="C">
    <w:p w14:paraId="10000056" w14:textId="77777777">
      <w:pPr>
        <w:pStyle w:val="CommentText"/>
      </w:pPr>
      <w:r>
        <w:rPr>
          <w:rStyle w:val="CommentReference"/>
        </w:rPr>
        <w:annotationRef/>
      </w:r>
      <w:r>
        <w:rPr>
          <w:b/>
        </w:rPr>
        <w:t xml:space="preserve">RISQUE 6/17 — Frais de tiers (« frais de continuité ») remboursables sans limite · passage lié</w:t>
      </w:r>
    </w:p>
    <w:p w14:paraId="10000057" w14:textId="77777777">
      <w:pPr>
        <w:pStyle w:val="CommentText"/>
      </w:pPr>
      <w:r>
        <w:t xml:space="preserve">Le Prestataire « conseille leur configuration » : une panne d’un service tiers souscrit par le Client peut lui être imputée et ouvrir la substitution de B.3.</w:t>
      </w:r>
    </w:p>
    <w:p w14:paraId="10000058" w14:textId="77777777">
      <w:pPr>
        <w:pStyle w:val="CommentText"/>
      </w:pPr>
      <w:r>
        <w:rPr>
          <w:i/>
        </w:rPr>
        <w:t xml:space="preserve">Explication complète : commentaire sur la clause B.3. Autres passages liés : B.3 ; 2.3 ; 5.1 (accès) ; 12.2 ; B.2 (étendue de l’accompagnement) ; B.4.</w:t>
      </w:r>
    </w:p>
    <w:p w14:paraId="10000059" w14:textId="77777777">
      <w:pPr>
        <w:pStyle w:val="CommentText"/>
      </w:pPr>
    </w:p>
    <w:p w14:paraId="1000005A" w14:textId="77777777">
      <w:pPr>
        <w:pStyle w:val="CommentText"/>
      </w:pPr>
      <w:r>
        <w:rPr>
          <w:b/>
        </w:rPr>
        <w:t xml:space="preserve">RISQUE 10/17 — Contrat sans fin certaine, sans sortie pour le Prestataire · passage lié</w:t>
      </w:r>
    </w:p>
    <w:p w14:paraId="1000005B" w14:textId="77777777">
      <w:pPr>
        <w:pStyle w:val="CommentText"/>
      </w:pPr>
      <w:r>
        <w:t xml:space="preserve">Hébergement et domaine sont souscrits par le Client : la mise en production, qui conditionne la fin du contrat, dépend de lui.</w:t>
      </w:r>
    </w:p>
    <w:p w14:paraId="1000005C" w14:textId="77777777">
      <w:pPr>
        <w:pStyle w:val="CommentText"/>
      </w:pPr>
      <w:r>
        <w:rPr>
          <w:i/>
        </w:rPr>
        <w:t xml:space="preserve">Explication complète : commentaire sur l’article 14.1. Autres passages liés : 14.1 ; 3.1 (point hebdomadaire) ; 11.1 (confidentialité) ; 12.3 (assurance) ; 13.1 ; 14.2 ; 14.3 ; A.3 ; B.2 (durée de l’accompagnement) ; B.4.</w:t>
      </w:r>
    </w:p>
    <w:p w14:paraId="1000005D" w14:textId="77777777">
      <w:pPr>
        <w:pStyle w:val="CommentText"/>
      </w:pPr>
    </w:p>
    <w:p w14:paraId="1000005E" w14:textId="77777777">
      <w:pPr>
        <w:pStyle w:val="CommentText"/>
      </w:pPr>
      <w:r>
        <w:rPr>
          <w:b/>
        </w:rPr>
        <w:t xml:space="preserve">RISQUE 11/17 — 24 mois de maintenance illimitée inclus dans le prix · passage lié</w:t>
      </w:r>
    </w:p>
    <w:p w14:paraId="1000005F" w14:textId="77777777">
      <w:pPr>
        <w:pStyle w:val="CommentText"/>
      </w:pPr>
      <w:r>
        <w:t xml:space="preserve">Les services tiers sont souscrits par le Client, qui peut les changer à tout moment ; les adaptations rendues nécessaires par leurs mises à jour restent pourtant à la charge du Prestataire, sans facturation complémentaire (B.2).</w:t>
      </w:r>
    </w:p>
    <w:p w14:paraId="10000060" w14:textId="77777777">
      <w:pPr>
        <w:pStyle w:val="CommentText"/>
      </w:pPr>
      <w:r>
        <w:rPr>
          <w:i/>
        </w:rPr>
        <w:t xml:space="preserve">Explication complète : commentaire sur la clause B.2 (étendue de l’accompagnement). Autres passages liés : B.2 (étendue de l’accompagnement) ; 3.1 (point hebdomadaire) ; A.2 ; B.2 (durée de l’accompagnement).</w:t>
      </w:r>
    </w:p>
  </w:comment>
  <w:comment w:id="19" w:author="Claude" w:date="2026-09-30T10:28:53Z" w:initials="C">
    <w:p w14:paraId="10000061" w14:textId="77777777">
      <w:pPr>
        <w:pStyle w:val="CommentText"/>
      </w:pPr>
      <w:r>
        <w:rPr>
          <w:rStyle w:val="CommentReference"/>
        </w:rPr>
        <w:annotationRef/>
      </w:r>
      <w:r>
        <w:rPr>
          <w:b/>
        </w:rPr>
        <w:t xml:space="preserve">RISQUE 12/17 — Garantie de propriété intellectuelle sur les contenus du Client · passage lié</w:t>
      </w:r>
    </w:p>
    <w:p w14:paraId="10000062" w14:textId="77777777">
      <w:pPr>
        <w:pStyle w:val="CommentText"/>
      </w:pPr>
      <w:r>
        <w:t xml:space="preserve">La responsabilité du Client sur ses contenus est placée « sous réserve des garanties définies à l’article 10 » : cela pourrait étendre la garantie du Prestataire aux contenus que le Client publie lui-même via l’interface de gestion (texte ambigu).</w:t>
      </w:r>
    </w:p>
    <w:p w14:paraId="10000063" w14:textId="77777777">
      <w:pPr>
        <w:pStyle w:val="CommentText"/>
      </w:pPr>
      <w:r>
        <w:rPr>
          <w:i/>
        </w:rPr>
        <w:t xml:space="preserve">Explication complète : commentaire sur l’article 10.2. Autres passages liés : 10.2 ; 10.1 ; 12.2.</w:t>
      </w:r>
    </w:p>
  </w:comment>
  <w:comment w:id="20" w:author="Claude" w:date="2026-09-30T10:28:53Z" w:initials="C">
    <w:p w14:paraId="10000064" w14:textId="77777777">
      <w:pPr>
        <w:pStyle w:val="CommentText"/>
      </w:pPr>
      <w:r>
        <w:rPr>
          <w:rStyle w:val="CommentReference"/>
        </w:rPr>
        <w:annotationRef/>
      </w:r>
      <w:r>
        <w:rPr>
          <w:b/>
        </w:rPr>
        <w:t xml:space="preserve">RISQUE 14/17 — Recette technique répétable et élargissable · gravité : modéré à élevé</w:t>
      </w:r>
    </w:p>
    <w:p w14:paraId="10000065" w14:textId="77777777">
      <w:pPr>
        <w:pStyle w:val="CommentText"/>
      </w:pPr>
      <w:r>
        <w:t xml:space="preserve">Chaque nouvelle livraison rouvre un délai de dix jours ouvrés, sans limite de cycles. Le Client peut invoquer la définition du corps (2.2 : « vérification des fonctions prévues en annexe A ») et la primauté du corps (1.2) pour dépasser les cinq vérifications de A.2 : affichage sur tablette, métadonnées, efficacité de l’anti-robots, interface de gestion. Le « délai convenu » pour les anomalies mineures n’est pas fixé, et personne n’est désigné pour qualifier une anomalie de « mineure ». Le test de « réception d’un message de test » dépend de services contrôlés par le Client. Exemple de cycle : livraison le 30/11 → liste le 14/12 → nouvelle livraison le 18/12 → nouveau délai jusqu’au 05/01/2027. Chaque cycle retarde d’autant la sollicitation du partenaire, donc le solde (B.1, 7.2). Nuance : la liste doit décrire les étapes de reproduction et se limiter aux écarts avec les spécifications (4.1) ; 1.1 renvoie à l’annexe A pour les critères de vérification.</w:t>
      </w:r>
    </w:p>
    <w:p w14:paraId="10000066" w14:textId="77777777">
      <w:pPr>
        <w:pStyle w:val="CommentText"/>
      </w:pPr>
      <w:r>
        <w:rPr>
          <w:i/>
        </w:rPr>
        <w:t xml:space="preserve">Passages liés à ce risque (surlignés et commentés) : 1.2 (hiérarchie) ; 2.2 (recette technique) ; A.2.</w:t>
      </w:r>
    </w:p>
    <w:p w14:paraId="10000067" w14:textId="77777777">
      <w:pPr>
        <w:pStyle w:val="CommentText"/>
      </w:pPr>
    </w:p>
    <w:p w14:paraId="10000068" w14:textId="77777777">
      <w:pPr>
        <w:pStyle w:val="CommentText"/>
      </w:pPr>
      <w:r>
        <w:rPr>
          <w:b/>
        </w:rPr>
        <w:t xml:space="preserve">RISQUE 1/17 — Solde de 8 400 € HT suspendu au visa d’un tiers · passage lié</w:t>
      </w:r>
    </w:p>
    <w:p w14:paraId="10000069" w14:textId="77777777">
      <w:pPr>
        <w:pStyle w:val="CommentText"/>
      </w:pPr>
      <w:r>
        <w:t xml:space="preserve">La recette technique tacite est acquise par le silence du Client, mais elle n’a aucun effet sur la facturation du solde (7.2).</w:t>
      </w:r>
    </w:p>
    <w:p w14:paraId="1000006A" w14:textId="77777777">
      <w:pPr>
        <w:pStyle w:val="CommentText"/>
      </w:pPr>
      <w:r>
        <w:rPr>
          <w:i/>
        </w:rPr>
        <w:t xml:space="preserve">Explication complète : commentaire sur l’article 7.2 (solde). Autres passages liés : 7.2 (solde) ; 2.2 (recette définitive) ; 6.2 (procès-verbal) ; 7.2 (facture de solde exclue) ; 7.3 ; 15.1 (phase amiable) ; A.3 ; B.1 ; B.2 (durée de l’accompagnement).</w:t>
      </w:r>
    </w:p>
  </w:comment>
  <w:comment w:id="21" w:author="Claude" w:date="2026-09-30T10:28:53Z" w:initials="C">
    <w:p w14:paraId="1000006B" w14:textId="77777777">
      <w:pPr>
        <w:pStyle w:val="CommentText"/>
      </w:pPr>
      <w:r>
        <w:rPr>
          <w:rStyle w:val="CommentReference"/>
        </w:rPr>
        <w:annotationRef/>
      </w:r>
      <w:r>
        <w:rPr>
          <w:b/>
        </w:rPr>
        <w:t xml:space="preserve">RISQUE 1/17 — Solde de 8 400 € HT suspendu au visa d’un tiers · passage lié</w:t>
      </w:r>
    </w:p>
    <w:p w14:paraId="1000006C" w14:textId="77777777">
      <w:pPr>
        <w:pStyle w:val="CommentText"/>
      </w:pPr>
      <w:r>
        <w:t xml:space="preserve">Le Client dispose encore de cinq jours ouvrés après l’accomplissement de la recette définitive, donc après le visa, pour transmettre le procès-verbal : la facture peut reculer d’autant (meilleur cas : procès-verbal le 22/01/2027, paiement le 21/02/2027).</w:t>
      </w:r>
    </w:p>
    <w:p w14:paraId="1000006D" w14:textId="77777777">
      <w:pPr>
        <w:pStyle w:val="CommentText"/>
      </w:pPr>
      <w:r>
        <w:rPr>
          <w:i/>
        </w:rPr>
        <w:t xml:space="preserve">Explication complète : commentaire sur l’article 7.2 (solde). Autres passages liés : 7.2 (solde) ; 2.2 (recette définitive) ; 6.1 ; 7.2 (facture de solde exclue) ; 7.3 ; 15.1 (phase amiable) ; A.3 ; B.1 ; B.2 (durée de l’accompagnement).</w:t>
      </w:r>
    </w:p>
  </w:comment>
  <w:comment w:id="22" w:author="Claude" w:date="2026-09-30T10:28:53Z" w:initials="C">
    <w:p w14:paraId="1000006E" w14:textId="77777777">
      <w:pPr>
        <w:pStyle w:val="CommentText"/>
      </w:pPr>
      <w:r>
        <w:rPr>
          <w:rStyle w:val="CommentReference"/>
        </w:rPr>
        <w:annotationRef/>
      </w:r>
      <w:r>
        <w:rPr>
          <w:b/>
        </w:rPr>
        <w:t xml:space="preserve">RISQUE 2/17 — Résiliation pour convenance : site gratuit et acompte à rendre · passage lié</w:t>
      </w:r>
    </w:p>
    <w:p w14:paraId="1000006F" w14:textId="77777777">
      <w:pPr>
        <w:pStyle w:val="CommentText"/>
      </w:pPr>
      <w:r>
        <w:t xml:space="preserve">Le prix est un forfait global et l’annexe A ne donne aucun prix par livrable : le « prorata du prix correspondant » prévu en 14.2 est incalculable.</w:t>
      </w:r>
    </w:p>
    <w:p w14:paraId="10000070" w14:textId="77777777">
      <w:pPr>
        <w:pStyle w:val="CommentText"/>
      </w:pPr>
      <w:r>
        <w:rPr>
          <w:i/>
        </w:rPr>
        <w:t xml:space="preserve">Explication complète : commentaire sur l’article 14.2. Autres passages liés : 14.2 ; 2.2 (recette définitive) ; 7.2 (paiement à 30 jours) ; 9.2 ; 9.3 ; B.1 ; B.3.</w:t>
      </w:r>
    </w:p>
  </w:comment>
  <w:comment w:id="23" w:author="Claude" w:date="2026-09-30T10:28:53Z" w:initials="C">
    <w:p w14:paraId="10000071" w14:textId="77777777">
      <w:pPr>
        <w:pStyle w:val="CommentText"/>
      </w:pPr>
      <w:r>
        <w:rPr>
          <w:rStyle w:val="CommentReference"/>
        </w:rPr>
        <w:annotationRef/>
      </w:r>
      <w:r>
        <w:rPr>
          <w:b/>
        </w:rPr>
        <w:t xml:space="preserve">RISQUE 17/17 — Points secondaires : frais externes · gravité du risque 17 : faible à modéré</w:t>
      </w:r>
    </w:p>
    <w:p w14:paraId="10000072" w14:textId="77777777">
      <w:pPr>
        <w:pStyle w:val="CommentText"/>
      </w:pPr>
      <w:r>
        <w:t xml:space="preserve">Seuls les frais « préalablement approuvés par le Client » sont refacturés, et le Prestataire les avance. B.2 exclut en outre toute facturation complémentaire pendant l’accompagnement.</w:t>
      </w:r>
    </w:p>
    <w:p w14:paraId="10000073" w14:textId="77777777">
      <w:pPr>
        <w:pStyle w:val="CommentText"/>
      </w:pPr>
      <w:r>
        <w:rPr>
          <w:i/>
        </w:rPr>
        <w:t xml:space="preserve">Passages liés à ce point (surlignés et commentés) : B.2 (étendue de l’accompagnement).</w:t>
      </w:r>
    </w:p>
  </w:comment>
  <w:comment w:id="24" w:author="Claude" w:date="2026-09-30T10:28:53Z" w:initials="C">
    <w:p w14:paraId="10000074" w14:textId="77777777">
      <w:pPr>
        <w:pStyle w:val="CommentText"/>
      </w:pPr>
      <w:r>
        <w:rPr>
          <w:rStyle w:val="CommentReference"/>
        </w:rPr>
        <w:annotationRef/>
      </w:r>
      <w:r>
        <w:rPr>
          <w:b/>
        </w:rPr>
        <w:t xml:space="preserve">RISQUE 13/17 — Acompte tardif et suspension sans effet sur la date · passage lié</w:t>
      </w:r>
    </w:p>
    <w:p w14:paraId="10000075" w14:textId="77777777">
      <w:pPr>
        <w:pStyle w:val="CommentText"/>
      </w:pPr>
      <w:r>
        <w:t xml:space="preserve">L’acompte est facturé à la signature mais, payable à 30 jours, il n’est exigible que le 30/10, alors que le travail commence le 05/10.</w:t>
      </w:r>
    </w:p>
    <w:p w14:paraId="10000076" w14:textId="77777777">
      <w:pPr>
        <w:pStyle w:val="CommentText"/>
      </w:pPr>
      <w:r>
        <w:rPr>
          <w:i/>
        </w:rPr>
        <w:t xml:space="preserve">Explication complète : commentaire sur l’article 7.3. Autres passages liés : 7.3 ; 2.4 ; 3.3 ; 7.2 (paiement à 30 jours) ; 8.1.</w:t>
      </w:r>
    </w:p>
  </w:comment>
  <w:comment w:id="25" w:author="Claude" w:date="2026-09-30T10:28:53Z" w:initials="C">
    <w:p w14:paraId="10000077" w14:textId="77777777">
      <w:pPr>
        <w:pStyle w:val="CommentText"/>
      </w:pPr>
      <w:r>
        <w:rPr>
          <w:rStyle w:val="CommentReference"/>
        </w:rPr>
        <w:annotationRef/>
      </w:r>
      <w:r>
        <w:rPr>
          <w:b/>
        </w:rPr>
        <w:t xml:space="preserve">RISQUE 1/17 — Solde de 8 400 € HT suspendu au visa d’un tiers · gravité : critique</w:t>
      </w:r>
    </w:p>
    <w:p w14:paraId="10000078" w14:textId="77777777">
      <w:pPr>
        <w:pStyle w:val="CommentText"/>
      </w:pPr>
      <w:r>
        <w:t xml:space="preserve">Le solde (70 % du prix) n’est facturable qu’à la « recette définitive ». Celle-ci exige, en plus de la recette technique, la clôture de l’annexe B, qui requiert le visa écrit d’un partenaire du Client. Ce tiers n’a pas signé le contrat, n’a aucun délai, son silence ne vaut pas visa et rien ne peut le remplacer. Le Client ne le sollicite qu’« après la recette technique », sans date limite. Le texte dit que le visa est « requis », pas qu’il suffit : le Client peut soutenir que d’autres « vérifications opérationnelles » restent ouvertes. Aucune facture de solde ne pouvant être émise, rien n’est « facturé et échu » : ni pénalités de retard, ni indemnité de 40 €, ni droit de suspendre (7.3). Conséquence : livraison le 30/11/2026, recette technique tacite le 14/12, site mis en ligne et exploité. Si le partenaire ne répond jamais, le Prestataire garde 3 600 € HT pour 40 jours ouvrés (environ 90 € par jour au lieu de 300) et doit quand même 24 mois d’accompagnement. Même au mieux (visa le 15/01/2027, procès-verbal le 22/01), le solde n’est payable que le 21/02/2027, près de trois mois après la livraison, sans intérêt de retard. Nuance : B.1 oblige le Client à solliciter le partenaire ; une mise en demeure (14.3) est possible, mais elle n’engage pas le partenaire lui-même.</w:t>
      </w:r>
    </w:p>
    <w:p w14:paraId="10000079" w14:textId="77777777">
      <w:pPr>
        <w:pStyle w:val="CommentText"/>
      </w:pPr>
      <w:r>
        <w:rPr>
          <w:i/>
        </w:rPr>
        <w:t xml:space="preserve">Passages liés à ce risque (surlignés et commentés) : 2.2 (recette définitive) ; 6.1 ; 6.2 (procès-verbal) ; 7.2 (facture de solde exclue) ; 7.3 ; 15.1 (phase amiable) ; A.3 ; B.1 ; B.2 (durée de l’accompagnement).</w:t>
      </w:r>
    </w:p>
    <w:p w14:paraId="1000007A" w14:textId="77777777">
      <w:pPr>
        <w:pStyle w:val="CommentText"/>
      </w:pPr>
    </w:p>
    <w:p w14:paraId="1000007B" w14:textId="77777777">
      <w:pPr>
        <w:pStyle w:val="CommentText"/>
      </w:pPr>
      <w:r>
        <w:rPr>
          <w:b/>
        </w:rPr>
        <w:t xml:space="preserve">RISQUE 3/17 — Droits cédés et code remis avant tout paiement · passage lié</w:t>
      </w:r>
    </w:p>
    <w:p w14:paraId="1000007C" w14:textId="77777777">
      <w:pPr>
        <w:pStyle w:val="CommentText"/>
      </w:pPr>
      <w:r>
        <w:t xml:space="preserve">Le solde n’étant facturable qu’à la recette définitive, les droits cédés dès la livraison (9.3) peuvent ne jamais être payés à hauteur de 70 %.</w:t>
      </w:r>
    </w:p>
    <w:p w14:paraId="1000007D" w14:textId="77777777">
      <w:pPr>
        <w:pStyle w:val="CommentText"/>
      </w:pPr>
      <w:r>
        <w:rPr>
          <w:i/>
        </w:rPr>
        <w:t xml:space="preserve">Explication complète : commentaire sur l’article 9.3. Autres passages liés : 9.3 ; 9.2.</w:t>
      </w:r>
    </w:p>
  </w:comment>
  <w:comment w:id="26" w:author="Claude" w:date="2026-09-30T10:28:53Z" w:initials="C">
    <w:p w14:paraId="1000007E" w14:textId="77777777">
      <w:pPr>
        <w:pStyle w:val="CommentText"/>
      </w:pPr>
      <w:r>
        <w:rPr>
          <w:rStyle w:val="CommentReference"/>
        </w:rPr>
        <w:annotationRef/>
      </w:r>
      <w:r>
        <w:rPr>
          <w:b/>
        </w:rPr>
        <w:t xml:space="preserve">RISQUE 2/17 — Résiliation pour convenance : site gratuit et acompte à rendre · passage lié</w:t>
      </w:r>
    </w:p>
    <w:p w14:paraId="1000007F" w14:textId="77777777">
      <w:pPr>
        <w:pStyle w:val="CommentText"/>
      </w:pPr>
      <w:r>
        <w:t xml:space="preserve">Asymétrie : le Client paie à 30 jours, alors que le Prestataire doit restituer l’acompte sous 15 jours en cas de résiliation pour convenance (14.2).</w:t>
      </w:r>
    </w:p>
    <w:p w14:paraId="10000080" w14:textId="77777777">
      <w:pPr>
        <w:pStyle w:val="CommentText"/>
      </w:pPr>
      <w:r>
        <w:rPr>
          <w:i/>
        </w:rPr>
        <w:t xml:space="preserve">Explication complète : commentaire sur l’article 14.2. Autres passages liés : 14.2 ; 2.2 (recette définitive) ; 7.1 (prix forfaitaire) ; 9.2 ; 9.3 ; B.1 ; B.3.</w:t>
      </w:r>
    </w:p>
    <w:p w14:paraId="10000081" w14:textId="77777777">
      <w:pPr>
        <w:pStyle w:val="CommentText"/>
      </w:pPr>
    </w:p>
    <w:p w14:paraId="10000082" w14:textId="77777777">
      <w:pPr>
        <w:pStyle w:val="CommentText"/>
      </w:pPr>
      <w:r>
        <w:rPr>
          <w:b/>
        </w:rPr>
        <w:t xml:space="preserve">RISQUE 13/17 — Acompte tardif et suspension sans effet sur la date · passage lié</w:t>
      </w:r>
    </w:p>
    <w:p w14:paraId="10000083" w14:textId="77777777">
      <w:pPr>
        <w:pStyle w:val="CommentText"/>
      </w:pPr>
      <w:r>
        <w:t xml:space="preserve">Délai de paiement de 30 jours : l’acompte n’est exigible qu’après quatre semaines de travail.</w:t>
      </w:r>
    </w:p>
    <w:p w14:paraId="10000084" w14:textId="77777777">
      <w:pPr>
        <w:pStyle w:val="CommentText"/>
      </w:pPr>
      <w:r>
        <w:rPr>
          <w:i/>
        </w:rPr>
        <w:t xml:space="preserve">Explication complète : commentaire sur l’article 7.3. Autres passages liés : 7.3 ; 2.4 ; 3.3 ; 7.2 (acompte) ; 8.1.</w:t>
      </w:r>
    </w:p>
  </w:comment>
  <w:comment w:id="27" w:author="Claude" w:date="2026-09-30T10:28:53Z" w:initials="C">
    <w:p w14:paraId="10000085" w14:textId="77777777">
      <w:pPr>
        <w:pStyle w:val="CommentText"/>
      </w:pPr>
      <w:r>
        <w:rPr>
          <w:rStyle w:val="CommentReference"/>
        </w:rPr>
        <w:annotationRef/>
      </w:r>
      <w:r>
        <w:rPr>
          <w:b/>
        </w:rPr>
        <w:t xml:space="preserve">RISQUE 1/17 — Solde de 8 400 € HT suspendu au visa d’un tiers · passage lié</w:t>
      </w:r>
    </w:p>
    <w:p w14:paraId="10000086" w14:textId="77777777">
      <w:pPr>
        <w:pStyle w:val="CommentText"/>
      </w:pPr>
      <w:r>
        <w:t xml:space="preserve">Ferme les autres issues : ni la livraison, ni la recette technique (même tacite), ni l’usage public du site ne permettent de facturer le solde.</w:t>
      </w:r>
    </w:p>
    <w:p w14:paraId="10000087" w14:textId="77777777">
      <w:pPr>
        <w:pStyle w:val="CommentText"/>
      </w:pPr>
      <w:r>
        <w:rPr>
          <w:i/>
        </w:rPr>
        <w:t xml:space="preserve">Explication complète : commentaire sur l’article 7.2 (solde). Autres passages liés : 7.2 (solde) ; 2.2 (recette définitive) ; 6.1 ; 6.2 (procès-verbal) ; 7.3 ; 15.1 (phase amiable) ; A.3 ; B.1 ; B.2 (durée de l’accompagnement).</w:t>
      </w:r>
    </w:p>
  </w:comment>
  <w:comment w:id="28" w:author="Claude" w:date="2026-09-30T10:28:53Z" w:initials="C">
    <w:p w14:paraId="10000088" w14:textId="77777777">
      <w:pPr>
        <w:pStyle w:val="CommentText"/>
      </w:pPr>
      <w:r>
        <w:rPr>
          <w:rStyle w:val="CommentReference"/>
        </w:rPr>
        <w:annotationRef/>
      </w:r>
      <w:r>
        <w:rPr>
          <w:b/>
        </w:rPr>
        <w:t xml:space="preserve">RISQUE 13/17 — Acompte tardif et suspension sans effet sur la date · gravité : élevé</w:t>
      </w:r>
    </w:p>
    <w:p w14:paraId="10000089" w14:textId="77777777">
      <w:pPr>
        <w:pStyle w:val="CommentText"/>
      </w:pPr>
      <w:r>
        <w:t xml:space="preserve">Le travail commence le 05/10, mais l’acompte, facturé à la signature et payable à 30 jours, n’est exigible que le 30/10. En cas d’impayé, avec une mise en demeure le 02/11, la suspension n’est possible qu’à partir du 17/11 : 30 des 40 jours ouvrés sont alors déjà faits. Cette suspension n’est pas une « suspension formelle » (écrit signé des deux parties, 2.4) : la date du 30/11 ne bouge donc pas (3.3). Exemple : le Client paie le 07/12 et la livraison a lieu le 21/12 ; le Client peut réclamer 12 600 € de pénalités. L’imputabilité est discutable, mais il faudra la contester.</w:t>
      </w:r>
    </w:p>
    <w:p w14:paraId="1000008A" w14:textId="77777777">
      <w:pPr>
        <w:pStyle w:val="CommentText"/>
      </w:pPr>
      <w:r>
        <w:rPr>
          <w:i/>
        </w:rPr>
        <w:t xml:space="preserve">Passages liés à ce risque (surlignés et commentés) : 2.4 ; 3.3 ; 7.2 (acompte) ; 7.2 (paiement à 30 jours) ; 8.1.</w:t>
      </w:r>
    </w:p>
    <w:p w14:paraId="1000008B" w14:textId="77777777">
      <w:pPr>
        <w:pStyle w:val="CommentText"/>
      </w:pPr>
    </w:p>
    <w:p w14:paraId="1000008C" w14:textId="77777777">
      <w:pPr>
        <w:pStyle w:val="CommentText"/>
      </w:pPr>
      <w:r>
        <w:rPr>
          <w:b/>
        </w:rPr>
        <w:t xml:space="preserve">RISQUE 1/17 — Solde de 8 400 € HT suspendu au visa d’un tiers · passage lié</w:t>
      </w:r>
    </w:p>
    <w:p w14:paraId="1000008D" w14:textId="77777777">
      <w:pPr>
        <w:pStyle w:val="CommentText"/>
      </w:pPr>
      <w:r>
        <w:t xml:space="preserve">Pénalités de retard, indemnité de 40 € et droit de suspendre ne visent qu’une somme « facturée et échue ». Un solde qu’on ne peut pas facturer n’est jamais échu : aucun de ces recours ne joue.</w:t>
      </w:r>
    </w:p>
    <w:p w14:paraId="1000008E" w14:textId="77777777">
      <w:pPr>
        <w:pStyle w:val="CommentText"/>
      </w:pPr>
      <w:r>
        <w:rPr>
          <w:i/>
        </w:rPr>
        <w:t xml:space="preserve">Explication complète : commentaire sur l’article 7.2 (solde). Autres passages liés : 7.2 (solde) ; 2.2 (recette définitive) ; 6.1 ; 6.2 (procès-verbal) ; 7.2 (facture de solde exclue) ; 15.1 (phase amiable) ; A.3 ; B.1 ; B.2 (durée de l’accompagnement).</w:t>
      </w:r>
    </w:p>
  </w:comment>
  <w:comment w:id="29" w:author="Claude" w:date="2026-09-30T10:28:53Z" w:initials="C">
    <w:p w14:paraId="1000008F" w14:textId="77777777">
      <w:pPr>
        <w:pStyle w:val="CommentText"/>
      </w:pPr>
      <w:r>
        <w:rPr>
          <w:rStyle w:val="CommentReference"/>
        </w:rPr>
        <w:annotationRef/>
      </w:r>
      <w:r>
        <w:rPr>
          <w:b/>
        </w:rPr>
        <w:t xml:space="preserve">RISQUE 5/17 — Pénalités de 600 € par jour, sans plafond · gravité : critique</w:t>
      </w:r>
    </w:p>
    <w:p w14:paraId="10000090" w14:textId="77777777">
      <w:pPr>
        <w:pStyle w:val="CommentText"/>
      </w:pPr>
      <w:r>
        <w:t xml:space="preserve">600 € par jour calendaire, week-ends et fêtes compris, soit 5 % du prix par jour, « sans plafond cumulé » et hors du plafond de responsabilité (12.1). 14 jours de retard équivalent au solde entier (8 400 €), 20 jours au prix total (12 000 €). Les pénalités sont déductibles des sommes dues au Prestataire. Point de départ ambigu : la mise en demeure n’est assortie d’aucun délai, et on ne sait pas si les pénalités courent depuis le 30/11 ou depuis la mise en demeure (exemple : livraison le 11/01/2027 avec une mise en demeure du 04/01 → 25 200 € depuis le 30/11, ou 4 200 € depuis la mise en demeure). Scénario : mise en demeure le 01/12, livraison le 04/01/2027 → 35 jours, soit 21 000 € HT (1,75 fois le prix). Si le visa ne vient jamais, les 21 000 € sont réclamés alors que seuls 3 600 € ont été encaissés. Nuance : il faut un retard « imputable au Prestataire ». La clause présente la pénalité comme une réparation forfaitaire, ce qui ouvre un argument pour l’intégrer au plafond, mais la mention « sans plafond cumulé » le contredit.</w:t>
      </w:r>
    </w:p>
    <w:p w14:paraId="10000091" w14:textId="77777777">
      <w:pPr>
        <w:pStyle w:val="CommentText"/>
      </w:pPr>
      <w:r>
        <w:rPr>
          <w:i/>
        </w:rPr>
        <w:t xml:space="preserve">Passages liés à ce risque (surlignés et commentés) : 12.1.</w:t>
      </w:r>
    </w:p>
    <w:p w14:paraId="10000092" w14:textId="77777777">
      <w:pPr>
        <w:pStyle w:val="CommentText"/>
      </w:pPr>
    </w:p>
    <w:p w14:paraId="10000093" w14:textId="77777777">
      <w:pPr>
        <w:pStyle w:val="CommentText"/>
      </w:pPr>
      <w:r>
        <w:rPr>
          <w:b/>
        </w:rPr>
        <w:t xml:space="preserve">RISQUE 4/17 — Date de livraison figée malgré les retards du Client · passage lié</w:t>
      </w:r>
    </w:p>
    <w:p w14:paraId="10000094" w14:textId="77777777">
      <w:pPr>
        <w:pStyle w:val="CommentText"/>
      </w:pPr>
      <w:r>
        <w:t xml:space="preserve">Si la date figée n’est pas tenue, le Client peut appliquer les pénalités après mise en demeure. L’exigence d’un retard « imputable au Prestataire » est le principal argument de défense, mais c’est au Prestataire de contester.</w:t>
      </w:r>
    </w:p>
    <w:p w14:paraId="10000095" w14:textId="77777777">
      <w:pPr>
        <w:pStyle w:val="CommentText"/>
      </w:pPr>
      <w:r>
        <w:rPr>
          <w:i/>
        </w:rPr>
        <w:t xml:space="preserve">Explication complète : commentaire sur l’article 3.3. Autres passages liés : 3.3 ; 2.4 ; 3.2 (traçabilité, en vert) ; 15.1 (force majeure) ; A.3.</w:t>
      </w:r>
    </w:p>
    <w:p w14:paraId="10000096" w14:textId="77777777">
      <w:pPr>
        <w:pStyle w:val="CommentText"/>
      </w:pPr>
    </w:p>
    <w:p w14:paraId="10000097" w14:textId="77777777">
      <w:pPr>
        <w:pStyle w:val="CommentText"/>
      </w:pPr>
      <w:r>
        <w:rPr>
          <w:b/>
        </w:rPr>
        <w:t xml:space="preserve">RISQUE 13/17 — Acompte tardif et suspension sans effet sur la date · passage lié</w:t>
      </w:r>
    </w:p>
    <w:p w14:paraId="10000098" w14:textId="77777777">
      <w:pPr>
        <w:pStyle w:val="CommentText"/>
      </w:pPr>
      <w:r>
        <w:t xml:space="preserve">Le retard causé par une suspension pour impayé peut donner lieu à des pénalités (exemple : 12 600 € pour une livraison le 21/12) ; l’imputabilité est discutable, mais il faudra la contester.</w:t>
      </w:r>
    </w:p>
    <w:p w14:paraId="10000099" w14:textId="77777777">
      <w:pPr>
        <w:pStyle w:val="CommentText"/>
      </w:pPr>
      <w:r>
        <w:rPr>
          <w:i/>
        </w:rPr>
        <w:t xml:space="preserve">Explication complète : commentaire sur l’article 7.3. Autres passages liés : 7.3 ; 2.4 ; 3.3 ; 7.2 (acompte) ; 7.2 (paiement à 30 jours).</w:t>
      </w:r>
    </w:p>
    <w:p w14:paraId="1000009A" w14:textId="77777777">
      <w:pPr>
        <w:pStyle w:val="CommentText"/>
      </w:pPr>
    </w:p>
    <w:p w14:paraId="1000009B" w14:textId="77777777">
      <w:pPr>
        <w:pStyle w:val="CommentText"/>
      </w:pPr>
      <w:r>
        <w:rPr>
          <w:b/>
        </w:rPr>
        <w:t xml:space="preserve">RISQUE 15/17 — Livraison mal définie et dépendante du Client · passage lié</w:t>
      </w:r>
    </w:p>
    <w:p w14:paraId="1000009C" w14:textId="77777777">
      <w:pPr>
        <w:pStyle w:val="CommentText"/>
      </w:pPr>
      <w:r>
        <w:t xml:space="preserve">Tant que la livraison est contestée (version incomplète, code, licences ou notice manquants), les pénalités peuvent continuer à courir.</w:t>
      </w:r>
    </w:p>
    <w:p w14:paraId="1000009D" w14:textId="77777777">
      <w:pPr>
        <w:pStyle w:val="CommentText"/>
      </w:pPr>
      <w:r>
        <w:rPr>
          <w:i/>
        </w:rPr>
        <w:t xml:space="preserve">Explication complète : commentaire sur l’article 2.1 (définition de la livraison). Autres passages liés : 2.1 (définition de la livraison) ; 5.1 (préproduction) ; 5.1 (notice de déploiement) ; 9.1 (liste des licences) ; 9.3 ; A.3.</w:t>
      </w:r>
    </w:p>
  </w:comment>
  <w:comment w:id="30" w:author="Claude" w:date="2026-09-30T10:28:53Z" w:initials="C">
    <w:p w14:paraId="1000009E" w14:textId="77777777">
      <w:pPr>
        <w:pStyle w:val="CommentText"/>
      </w:pPr>
      <w:r>
        <w:rPr>
          <w:rStyle w:val="CommentReference"/>
        </w:rPr>
        <w:annotationRef/>
      </w:r>
      <w:r>
        <w:rPr>
          <w:b/>
        </w:rPr>
        <w:t xml:space="preserve">RISQUE 16/17 — Outils du Prestataire et réutilisation de son travail · gravité : modéré</w:t>
      </w:r>
    </w:p>
    <w:p w14:paraId="1000009F" w14:textId="77777777">
      <w:pPr>
        <w:pStyle w:val="CommentText"/>
      </w:pPr>
      <w:r>
        <w:t xml:space="preserve">La licence sur les outils antérieurs du Prestataire est gratuite, perpétuelle (durée légale des droits), mondiale et sans lien avec le paiement. Elle survit donc à une résiliation à 0 € (14.2), et les tiers qui maintiennent le site peuvent en profiter (9.2). Aucun inventaire des composants antérieurs n’est prévu : un module générique développé pendant le projet risque d’être revendiqué comme création exclusive (9.2), ce qui peut entraîner des litiges si le Prestataire le réutilise.</w:t>
      </w:r>
    </w:p>
    <w:p w14:paraId="100000A0" w14:textId="77777777">
      <w:pPr>
        <w:pStyle w:val="CommentText"/>
      </w:pPr>
      <w:r>
        <w:rPr>
          <w:i/>
        </w:rPr>
        <w:t xml:space="preserve">Passages liés à ce risque (surlignés et commentés) : 9.2.</w:t>
      </w:r>
    </w:p>
  </w:comment>
  <w:comment w:id="31" w:author="Claude" w:date="2026-09-30T10:28:53Z" w:initials="C">
    <w:p w14:paraId="100000A1" w14:textId="77777777">
      <w:pPr>
        <w:pStyle w:val="CommentText"/>
      </w:pPr>
      <w:r>
        <w:rPr>
          <w:rStyle w:val="CommentReference"/>
        </w:rPr>
        <w:annotationRef/>
      </w:r>
      <w:r>
        <w:rPr>
          <w:b/>
        </w:rPr>
        <w:t xml:space="preserve">RISQUE 15/17 — Livraison mal définie et dépendante du Client · passage lié</w:t>
      </w:r>
    </w:p>
    <w:p w14:paraId="100000A2" w14:textId="77777777">
      <w:pPr>
        <w:pStyle w:val="CommentText"/>
      </w:pPr>
      <w:r>
        <w:t xml:space="preserve">La liste des licences est « remise avec le code » : sans elle, le Client peut contester la livraison.</w:t>
      </w:r>
    </w:p>
    <w:p w14:paraId="100000A3" w14:textId="77777777">
      <w:pPr>
        <w:pStyle w:val="CommentText"/>
      </w:pPr>
      <w:r>
        <w:rPr>
          <w:i/>
        </w:rPr>
        <w:t xml:space="preserve">Explication complète : commentaire sur l’article 2.1 (définition de la livraison). Autres passages liés : 2.1 (définition de la livraison) ; 5.1 (préproduction) ; 5.1 (notice de déploiement) ; 8.1 ; 9.3 ; A.3.</w:t>
      </w:r>
    </w:p>
  </w:comment>
  <w:comment w:id="32" w:author="Claude" w:date="2026-09-30T10:28:53Z" w:initials="C">
    <w:p w14:paraId="100000A4" w14:textId="77777777">
      <w:pPr>
        <w:pStyle w:val="CommentText"/>
      </w:pPr>
      <w:r>
        <w:rPr>
          <w:rStyle w:val="CommentReference"/>
        </w:rPr>
        <w:annotationRef/>
      </w:r>
      <w:r>
        <w:rPr>
          <w:b/>
        </w:rPr>
        <w:t xml:space="preserve">RISQUE 2/17 — Résiliation pour convenance : site gratuit et acompte à rendre · passage lié</w:t>
      </w:r>
    </w:p>
    <w:p w14:paraId="100000A5" w14:textId="77777777">
      <w:pPr>
        <w:pStyle w:val="CommentText"/>
      </w:pPr>
      <w:r>
        <w:t xml:space="preserve">Le droit d’adaptation inclut la maintenance et les modifications confiées à un tiers : après résiliation, le Client peut faire terminer ou maintenir le site par un autre prestataire.</w:t>
      </w:r>
    </w:p>
    <w:p w14:paraId="100000A6" w14:textId="77777777">
      <w:pPr>
        <w:pStyle w:val="CommentText"/>
      </w:pPr>
      <w:r>
        <w:rPr>
          <w:i/>
        </w:rPr>
        <w:t xml:space="preserve">Explication complète : commentaire sur l’article 14.2. Autres passages liés : 14.2 ; 2.2 (recette définitive) ; 7.1 (prix forfaitaire) ; 7.2 (paiement à 30 jours) ; 9.3 ; B.1 ; B.3.</w:t>
      </w:r>
    </w:p>
    <w:p w14:paraId="100000A7" w14:textId="77777777">
      <w:pPr>
        <w:pStyle w:val="CommentText"/>
      </w:pPr>
    </w:p>
    <w:p w14:paraId="100000A8" w14:textId="77777777">
      <w:pPr>
        <w:pStyle w:val="CommentText"/>
      </w:pPr>
      <w:r>
        <w:rPr>
          <w:b/>
        </w:rPr>
        <w:t xml:space="preserve">RISQUE 3/17 — Droits cédés et code remis avant tout paiement · passage lié</w:t>
      </w:r>
    </w:p>
    <w:p w14:paraId="100000A9" w14:textId="77777777">
      <w:pPr>
        <w:pStyle w:val="CommentText"/>
      </w:pPr>
      <w:r>
        <w:t xml:space="preserve">Objet de la cession, effective dès la livraison (9.3) et donc avant paiement : droits exclusifs de reproduction, de représentation et d’adaptation, pour le monde entier et la durée légale de protection. Limite : l’exploitation et la promotion du site du Client.</w:t>
      </w:r>
    </w:p>
    <w:p w14:paraId="100000AA" w14:textId="77777777">
      <w:pPr>
        <w:pStyle w:val="CommentText"/>
      </w:pPr>
      <w:r>
        <w:rPr>
          <w:i/>
        </w:rPr>
        <w:t xml:space="preserve">Explication complète : commentaire sur l’article 9.3. Autres passages liés : 9.3 ; 7.2 (solde).</w:t>
      </w:r>
    </w:p>
    <w:p w14:paraId="100000AB" w14:textId="77777777">
      <w:pPr>
        <w:pStyle w:val="CommentText"/>
      </w:pPr>
    </w:p>
    <w:p w14:paraId="100000AC" w14:textId="77777777">
      <w:pPr>
        <w:pStyle w:val="CommentText"/>
      </w:pPr>
      <w:r>
        <w:rPr>
          <w:b/>
        </w:rPr>
        <w:t xml:space="preserve">RISQUE 16/17 — Outils du Prestataire et réutilisation de son travail · passage lié</w:t>
      </w:r>
    </w:p>
    <w:p w14:paraId="100000AD" w14:textId="77777777">
      <w:pPr>
        <w:pStyle w:val="CommentText"/>
      </w:pPr>
      <w:r>
        <w:t xml:space="preserve">Cession exclusive des créations « spécifiquement réalisées pour ce projet » : faute d’inventaire des composants antérieurs, un module générique développé pendant le projet risque d’être revendiqué comme exclusif.</w:t>
      </w:r>
    </w:p>
    <w:p w14:paraId="100000AE" w14:textId="77777777">
      <w:pPr>
        <w:pStyle w:val="CommentText"/>
      </w:pPr>
      <w:r>
        <w:rPr>
          <w:i/>
        </w:rPr>
        <w:t xml:space="preserve">Explication complète : commentaire sur l’article 9.1 (licence sur les outils antérieurs). Autres passages liés : 9.1 (licence sur les outils antérieurs).</w:t>
      </w:r>
    </w:p>
  </w:comment>
  <w:comment w:id="33" w:author="Claude" w:date="2026-09-30T10:28:53Z" w:initials="C">
    <w:p w14:paraId="100000AF" w14:textId="77777777">
      <w:pPr>
        <w:pStyle w:val="CommentText"/>
      </w:pPr>
      <w:r>
        <w:rPr>
          <w:rStyle w:val="CommentReference"/>
        </w:rPr>
        <w:annotationRef/>
      </w:r>
      <w:r>
        <w:rPr>
          <w:b/>
        </w:rPr>
        <w:t xml:space="preserve">RISQUE 3/17 — Droits cédés et code remis avant tout paiement · gravité : critique</w:t>
      </w:r>
    </w:p>
    <w:p w14:paraId="100000B0" w14:textId="77777777">
      <w:pPr>
        <w:pStyle w:val="CommentText"/>
      </w:pPr>
      <w:r>
        <w:t xml:space="preserve">La cession prend effet à la livraison, « indépendamment du paiement », subsiste en cas de résiliation ou de contestation du prix, et le code source est remis dès la livraison technique. Le Prestataire perd le moyen de pression habituel, qui consiste à ne céder les droits et le code qu’après paiement complet. Combinée au blocage du solde (7.2, B.1) et à la résiliation pour convenance (14.2), cette cession ne laisse au Prestataire qu’une « créance monétaire », qui peut être non exigible (le solde) ou nulle (après une résiliation pour convenance). Retenir la livraison pour obtenir l’acompte l’exposerait, lui, aux pénalités de 8.1. Nuance : la cession est limitée à « l’exploitation et la promotion du site institutionnel du Client », et les droits moraux sont réservés.</w:t>
      </w:r>
    </w:p>
    <w:p w14:paraId="100000B1" w14:textId="77777777">
      <w:pPr>
        <w:pStyle w:val="CommentText"/>
      </w:pPr>
      <w:r>
        <w:rPr>
          <w:i/>
        </w:rPr>
        <w:t xml:space="preserve">Passages liés à ce risque (surlignés et commentés) : 7.2 (solde) ; 9.2.</w:t>
      </w:r>
    </w:p>
    <w:p w14:paraId="100000B2" w14:textId="77777777">
      <w:pPr>
        <w:pStyle w:val="CommentText"/>
      </w:pPr>
    </w:p>
    <w:p w14:paraId="100000B3" w14:textId="77777777">
      <w:pPr>
        <w:pStyle w:val="CommentText"/>
      </w:pPr>
      <w:r>
        <w:rPr>
          <w:b/>
        </w:rPr>
        <w:t xml:space="preserve">RISQUE 2/17 — Résiliation pour convenance : site gratuit et acompte à rendre · passage lié</w:t>
      </w:r>
    </w:p>
    <w:p w14:paraId="100000B4" w14:textId="77777777">
      <w:pPr>
        <w:pStyle w:val="CommentText"/>
      </w:pPr>
      <w:r>
        <w:t xml:space="preserve">La cession subsiste en cas de résiliation : le Client garde le site, le code et les droits exclusifs alors que, l’acompte lui étant restitué, il n’a finalement rien payé.</w:t>
      </w:r>
    </w:p>
    <w:p w14:paraId="100000B5" w14:textId="77777777">
      <w:pPr>
        <w:pStyle w:val="CommentText"/>
      </w:pPr>
      <w:r>
        <w:rPr>
          <w:i/>
        </w:rPr>
        <w:t xml:space="preserve">Explication complète : commentaire sur l’article 14.2. Autres passages liés : 14.2 ; 2.2 (recette définitive) ; 7.1 (prix forfaitaire) ; 7.2 (paiement à 30 jours) ; 9.2 ; B.1 ; B.3.</w:t>
      </w:r>
    </w:p>
    <w:p w14:paraId="100000B6" w14:textId="77777777">
      <w:pPr>
        <w:pStyle w:val="CommentText"/>
      </w:pPr>
    </w:p>
    <w:p w14:paraId="100000B7" w14:textId="77777777">
      <w:pPr>
        <w:pStyle w:val="CommentText"/>
      </w:pPr>
      <w:r>
        <w:rPr>
          <w:b/>
        </w:rPr>
        <w:t xml:space="preserve">RISQUE 15/17 — Livraison mal définie et dépendante du Client · passage lié</w:t>
      </w:r>
    </w:p>
    <w:p w14:paraId="100000B8" w14:textId="77777777">
      <w:pPr>
        <w:pStyle w:val="CommentText"/>
      </w:pPr>
      <w:r>
        <w:t xml:space="preserve">Le code source est remis « à la livraison technique » : une remise sans code permet au Client de contester la livraison et de laisser courir les pénalités.</w:t>
      </w:r>
    </w:p>
    <w:p w14:paraId="100000B9" w14:textId="77777777">
      <w:pPr>
        <w:pStyle w:val="CommentText"/>
      </w:pPr>
      <w:r>
        <w:rPr>
          <w:i/>
        </w:rPr>
        <w:t xml:space="preserve">Explication complète : commentaire sur l’article 2.1 (définition de la livraison). Autres passages liés : 2.1 (définition de la livraison) ; 5.1 (préproduction) ; 5.1 (notice de déploiement) ; 8.1 ; 9.1 (liste des licences) ; A.3.</w:t>
      </w:r>
    </w:p>
  </w:comment>
  <w:comment w:id="34" w:author="Claude" w:date="2026-09-30T10:28:53Z" w:initials="C">
    <w:p w14:paraId="100000BA" w14:textId="77777777">
      <w:pPr>
        <w:pStyle w:val="CommentText"/>
      </w:pPr>
      <w:r>
        <w:rPr>
          <w:rStyle w:val="CommentReference"/>
        </w:rPr>
        <w:annotationRef/>
      </w:r>
      <w:r>
        <w:rPr>
          <w:b/>
        </w:rPr>
        <w:t xml:space="preserve">RISQUE 12/17 — Garantie de propriété intellectuelle sur les contenus du Client · passage lié</w:t>
      </w:r>
    </w:p>
    <w:p w14:paraId="100000BB" w14:textId="77777777">
      <w:pPr>
        <w:pStyle w:val="CommentText"/>
      </w:pPr>
      <w:r>
        <w:t xml:space="preserve">Le Client ne transmet que « les autorisations dont il dispose » et ne garantit rien sur ses contenus : le risque bascule sur le Prestataire via 10.2.</w:t>
      </w:r>
    </w:p>
    <w:p w14:paraId="100000BC" w14:textId="77777777">
      <w:pPr>
        <w:pStyle w:val="CommentText"/>
      </w:pPr>
      <w:r>
        <w:rPr>
          <w:i/>
        </w:rPr>
        <w:t xml:space="preserve">Explication complète : commentaire sur l’article 10.2. Autres passages liés : 10.2 ; 5.2 (contenus du Client) ; 12.2.</w:t>
      </w:r>
    </w:p>
  </w:comment>
  <w:comment w:id="35" w:author="Claude" w:date="2026-09-30T10:28:53Z" w:initials="C">
    <w:p w14:paraId="100000BD" w14:textId="77777777">
      <w:pPr>
        <w:pStyle w:val="CommentText"/>
      </w:pPr>
      <w:r>
        <w:rPr>
          <w:rStyle w:val="CommentReference"/>
        </w:rPr>
        <w:annotationRef/>
      </w:r>
      <w:r>
        <w:rPr>
          <w:b/>
        </w:rPr>
        <w:t xml:space="preserve">RISQUE 12/17 — Garantie de propriété intellectuelle sur les contenus du Client · gravité : élevé</w:t>
      </w:r>
    </w:p>
    <w:p w14:paraId="100000BE" w14:textId="77777777">
      <w:pPr>
        <w:pStyle w:val="CommentText"/>
      </w:pPr>
      <w:r>
        <w:t xml:space="preserve">Le Prestataire garantit le Client contre toute revendication, y compris sur les éléments fournis ou imposés par le Client et reçus sans modification. La répartition normale des risques est inversée : le Client ne garantit rien sur ses propres photos, textes et marques, y compris la marque du partenaire (10.1 : il transmet seulement « les autorisations dont il dispose »). 5.2 pourrait étendre la garantie aux contenus que le Client publie lui-même via l’interface de gestion pendant toute la durée du contrat (texte ambigu). La défense est menée par le Client, qui « permet de participer à la défense », mais c’est le Prestataire qui paie. Exemple : 10 photos de banque d’images sans licence web fournies par le Client ; réclamation à 900 € par photo + 3 000 € de défense = 12 000 €, soit tout le plafond et 3,3 fois l’acompte. Nuance : la garantie est plafonnée (12.2) et ne couvre que les condamnations définitives et les frais raisonnables.</w:t>
      </w:r>
    </w:p>
    <w:p w14:paraId="100000BF" w14:textId="77777777">
      <w:pPr>
        <w:pStyle w:val="CommentText"/>
      </w:pPr>
      <w:r>
        <w:rPr>
          <w:i/>
        </w:rPr>
        <w:t xml:space="preserve">Passages liés à ce risque (surlignés et commentés) : 5.2 (contenus du Client) ; 10.1 ; 12.2.</w:t>
      </w:r>
    </w:p>
    <w:p w14:paraId="100000C0" w14:textId="77777777">
      <w:pPr>
        <w:pStyle w:val="CommentText"/>
      </w:pPr>
    </w:p>
    <w:p w14:paraId="100000C1" w14:textId="77777777">
      <w:pPr>
        <w:pStyle w:val="CommentText"/>
      </w:pPr>
      <w:r>
        <w:rPr>
          <w:b/>
        </w:rPr>
        <w:t xml:space="preserve">RISQUE 17/17 — Points secondaires : intitulés trompeurs · passage lié</w:t>
      </w:r>
    </w:p>
    <w:p w14:paraId="100000C2" w14:textId="77777777">
      <w:pPr>
        <w:pStyle w:val="CommentText"/>
      </w:pPr>
      <w:r>
        <w:t xml:space="preserve">Intitulé trompeur : la garantie est présentée « Afin de simplifier le traitement des réclamations ».</w:t>
      </w:r>
    </w:p>
    <w:p w14:paraId="100000C3" w14:textId="77777777">
      <w:pPr>
        <w:pStyle w:val="CommentText"/>
      </w:pPr>
      <w:r>
        <w:rPr>
          <w:i/>
        </w:rPr>
        <w:t xml:space="preserve">Explication complète : commentaire sur le titre de l’article 13. Autres passages liés : article 13 (titre) ; 2.3.</w:t>
      </w:r>
    </w:p>
  </w:comment>
  <w:comment w:id="36" w:author="Claude" w:date="2026-09-30T10:28:53Z" w:initials="C">
    <w:p w14:paraId="100000C4" w14:textId="77777777">
      <w:pPr>
        <w:pStyle w:val="CommentText"/>
      </w:pPr>
      <w:r>
        <w:rPr>
          <w:rStyle w:val="CommentReference"/>
        </w:rPr>
        <w:annotationRef/>
      </w:r>
      <w:r>
        <w:rPr>
          <w:b/>
        </w:rPr>
        <w:t xml:space="preserve">RISQUE 10/17 — Contrat sans fin certaine, sans sortie pour le Prestataire · passage lié</w:t>
      </w:r>
    </w:p>
    <w:p w14:paraId="100000C5" w14:textId="77777777">
      <w:pPr>
        <w:pStyle w:val="CommentText"/>
      </w:pPr>
      <w:r>
        <w:t xml:space="preserve">La confidentialité court trois ans après la fin du contrat, fin qui dépend du Client (jusqu’en 2032 dans le scénario de base).</w:t>
      </w:r>
    </w:p>
    <w:p w14:paraId="100000C6" w14:textId="77777777">
      <w:pPr>
        <w:pStyle w:val="CommentText"/>
      </w:pPr>
      <w:r>
        <w:rPr>
          <w:i/>
        </w:rPr>
        <w:t xml:space="preserve">Explication complète : commentaire sur l’article 14.1. Autres passages liés : 14.1 ; 3.1 (point hebdomadaire) ; 5.2 (hébergement et services tiers) ; 12.3 (assurance) ; 13.1 ; 14.2 ; 14.3 ; A.3 ; B.2 (durée de l’accompagnement) ; B.4.</w:t>
      </w:r>
    </w:p>
  </w:comment>
  <w:comment w:id="37" w:author="Claude" w:date="2026-09-30T10:28:53Z" w:initials="C">
    <w:p w14:paraId="100000C7" w14:textId="77777777">
      <w:pPr>
        <w:pStyle w:val="CommentText"/>
      </w:pPr>
      <w:r>
        <w:rPr>
          <w:rStyle w:val="CommentReference"/>
        </w:rPr>
        <w:annotationRef/>
      </w:r>
      <w:r>
        <w:rPr>
          <w:b/>
        </w:rPr>
        <w:t xml:space="preserve">RISQUE 17/17 — Points secondaires : données personnelles · gravité du risque 17 : faible à modéré</w:t>
      </w:r>
    </w:p>
    <w:p w14:paraId="100000C8" w14:textId="77777777">
      <w:pPr>
        <w:pStyle w:val="CommentText"/>
      </w:pPr>
      <w:r>
        <w:t xml:space="preserve">Si une correction exige d’accéder à des données réelles, il faut d’abord ce cadre écrit, qui dépend du Client. Pendant ce temps, le délai de dix jours ouvrés de B.3 continue de courir.</w:t>
      </w:r>
    </w:p>
    <w:p w14:paraId="100000C9" w14:textId="77777777">
      <w:pPr>
        <w:pStyle w:val="CommentText"/>
      </w:pPr>
      <w:r>
        <w:rPr>
          <w:i/>
        </w:rPr>
        <w:t xml:space="preserve">Passages liés à ce point (surlignés et commentés) : B.3.</w:t>
      </w:r>
    </w:p>
  </w:comment>
  <w:comment w:id="38" w:author="Claude" w:date="2026-09-30T10:28:53Z" w:initials="C">
    <w:p w14:paraId="100000CA" w14:textId="77777777">
      <w:pPr>
        <w:pStyle w:val="CommentText"/>
      </w:pPr>
      <w:r>
        <w:rPr>
          <w:rStyle w:val="CommentReference"/>
        </w:rPr>
        <w:annotationRef/>
      </w:r>
      <w:r>
        <w:rPr>
          <w:b/>
        </w:rPr>
        <w:t xml:space="preserve">RISQUE 7/17 — Plafond de responsabilité en trompe-l’œil · gravité : critique</w:t>
      </w:r>
    </w:p>
    <w:p w14:paraId="100000CB" w14:textId="77777777">
      <w:pPr>
        <w:pStyle w:val="CommentText"/>
      </w:pPr>
      <w:r>
        <w:t xml:space="preserve">Le plafond de 12 000 € ne vise que les « dommages et intérêts ». Les postes les plus lourds lui échappent : les pénalités (dernière phrase de 12.1, article 8) et les frais de tiers (2.3, 12.2, B.3). Il est en revanche consommé en priorité par la garantie sur les contenus du Client (10.2, incluse par 12.2), un risque que le Prestataire ne contrôle pas. Seules les « pertes de bénéfices indirectes » sont exclues : le manque à gagner direct reste réclamable, dans la limite du plafond. Illustration : 28 jours de retard imputable (16 800 €) + 9 000 € de frais de tiers + une réclamation sur des photos (12 000 €) = 37 800 € HT, plus de trois fois le prix, alors que l’encaissement peut se limiter à 3 600 €, voire tomber à zéro après restitution.</w:t>
      </w:r>
    </w:p>
    <w:p w14:paraId="100000CC" w14:textId="77777777">
      <w:pPr>
        <w:pStyle w:val="CommentText"/>
      </w:pPr>
      <w:r>
        <w:rPr>
          <w:i/>
        </w:rPr>
        <w:t xml:space="preserve">Passages liés à ce risque (surlignés et commentés) : 2.3 ; 12.2.</w:t>
      </w:r>
    </w:p>
    <w:p w14:paraId="100000CD" w14:textId="77777777">
      <w:pPr>
        <w:pStyle w:val="CommentText"/>
      </w:pPr>
    </w:p>
    <w:p w14:paraId="100000CE" w14:textId="77777777">
      <w:pPr>
        <w:pStyle w:val="CommentText"/>
      </w:pPr>
      <w:r>
        <w:rPr>
          <w:b/>
        </w:rPr>
        <w:t xml:space="preserve">RISQUE 5/17 — Pénalités de 600 € par jour, sans plafond · passage lié</w:t>
      </w:r>
    </w:p>
    <w:p w14:paraId="100000CF" w14:textId="77777777">
      <w:pPr>
        <w:pStyle w:val="CommentText"/>
      </w:pPr>
      <w:r>
        <w:t xml:space="preserve">La dernière phrase sort les pénalités de l’article 8 du plafond de 12 000 € : elles restent illimitées.</w:t>
      </w:r>
    </w:p>
    <w:p w14:paraId="100000D0" w14:textId="77777777">
      <w:pPr>
        <w:pStyle w:val="CommentText"/>
      </w:pPr>
      <w:r>
        <w:rPr>
          <w:i/>
        </w:rPr>
        <w:t xml:space="preserve">Explication complète : commentaire sur l’article 8.1. Autres passages liés : 8.1.</w:t>
      </w:r>
    </w:p>
  </w:comment>
  <w:comment w:id="39" w:author="Claude" w:date="2026-09-30T10:28:53Z" w:initials="C">
    <w:p w14:paraId="100000D1" w14:textId="77777777">
      <w:pPr>
        <w:pStyle w:val="CommentText"/>
      </w:pPr>
      <w:r>
        <w:rPr>
          <w:rStyle w:val="CommentReference"/>
        </w:rPr>
        <w:annotationRef/>
      </w:r>
      <w:r>
        <w:rPr>
          <w:b/>
        </w:rPr>
        <w:t xml:space="preserve">RISQUE 6/17 — Frais de tiers (« frais de continuité ») remboursables sans limite · passage lié</w:t>
      </w:r>
    </w:p>
    <w:p w14:paraId="100000D2" w14:textId="77777777">
      <w:pPr>
        <w:pStyle w:val="CommentText"/>
      </w:pPr>
      <w:r>
        <w:t xml:space="preserve">Les obligations de remboursement ne sont pas des dommages et intérêts, et les frais de continuité sont « réglés séparément » : ils échappent au plafond de 12 000 €.</w:t>
      </w:r>
    </w:p>
    <w:p w14:paraId="100000D3" w14:textId="77777777">
      <w:pPr>
        <w:pStyle w:val="CommentText"/>
      </w:pPr>
      <w:r>
        <w:rPr>
          <w:i/>
        </w:rPr>
        <w:t xml:space="preserve">Explication complète : commentaire sur la clause B.3. Autres passages liés : B.3 ; 2.3 ; 5.1 (accès) ; 5.2 (hébergement et services tiers) ; B.2 (étendue de l’accompagnement) ; B.4.</w:t>
      </w:r>
    </w:p>
    <w:p w14:paraId="100000D4" w14:textId="77777777">
      <w:pPr>
        <w:pStyle w:val="CommentText"/>
      </w:pPr>
    </w:p>
    <w:p w14:paraId="100000D5" w14:textId="77777777">
      <w:pPr>
        <w:pStyle w:val="CommentText"/>
      </w:pPr>
      <w:r>
        <w:rPr>
          <w:b/>
        </w:rPr>
        <w:t xml:space="preserve">RISQUE 7/17 — Plafond de responsabilité en trompe-l’œil · passage lié</w:t>
      </w:r>
    </w:p>
    <w:p w14:paraId="100000D6" w14:textId="77777777">
      <w:pPr>
        <w:pStyle w:val="CommentText"/>
      </w:pPr>
      <w:r>
        <w:t xml:space="preserve">Organise le trompe-l’œil : les remboursements (frais de tiers) sortent du plafond, alors que la garantie de 10.2, elle, y entre et peut l’épuiser.</w:t>
      </w:r>
    </w:p>
    <w:p w14:paraId="100000D7" w14:textId="77777777">
      <w:pPr>
        <w:pStyle w:val="CommentText"/>
      </w:pPr>
      <w:r>
        <w:rPr>
          <w:i/>
        </w:rPr>
        <w:t xml:space="preserve">Explication complète : commentaire sur l’article 12.1. Autres passages liés : 12.1 ; 2.3.</w:t>
      </w:r>
    </w:p>
    <w:p w14:paraId="100000D8" w14:textId="77777777">
      <w:pPr>
        <w:pStyle w:val="CommentText"/>
      </w:pPr>
    </w:p>
    <w:p w14:paraId="100000D9" w14:textId="77777777">
      <w:pPr>
        <w:pStyle w:val="CommentText"/>
      </w:pPr>
      <w:r>
        <w:rPr>
          <w:b/>
        </w:rPr>
        <w:t xml:space="preserve">RISQUE 12/17 — Garantie de propriété intellectuelle sur les contenus du Client · passage lié</w:t>
      </w:r>
    </w:p>
    <w:p w14:paraId="100000DA" w14:textId="77777777">
      <w:pPr>
        <w:pStyle w:val="CommentText"/>
      </w:pPr>
      <w:r>
        <w:t xml:space="preserve">La garantie de 10.2 entre dans le plafond de 12.1 : c’est une limite, mais une seule réclamation peut épuiser tout le plafond.</w:t>
      </w:r>
    </w:p>
    <w:p w14:paraId="100000DB" w14:textId="77777777">
      <w:pPr>
        <w:pStyle w:val="CommentText"/>
      </w:pPr>
      <w:r>
        <w:rPr>
          <w:i/>
        </w:rPr>
        <w:t xml:space="preserve">Explication complète : commentaire sur l’article 10.2. Autres passages liés : 10.2 ; 5.2 (contenus du Client) ; 10.1.</w:t>
      </w:r>
    </w:p>
  </w:comment>
  <w:comment w:id="40" w:author="Claude" w:date="2026-09-30T10:28:53Z" w:initials="C">
    <w:p w14:paraId="100000DC" w14:textId="77777777">
      <w:pPr>
        <w:pStyle w:val="CommentText"/>
      </w:pPr>
      <w:r>
        <w:rPr>
          <w:rStyle w:val="CommentReference"/>
        </w:rPr>
        <w:annotationRef/>
      </w:r>
      <w:r>
        <w:rPr>
          <w:b/>
        </w:rPr>
        <w:t xml:space="preserve">RISQUE 17/17 — Points secondaires : assurance · gravité du risque 17 : faible à modéré</w:t>
      </w:r>
    </w:p>
    <w:p w14:paraId="100000DD" w14:textId="77777777">
      <w:pPr>
        <w:pStyle w:val="CommentText"/>
      </w:pPr>
      <w:r>
        <w:t xml:space="preserve">Une responsabilité civile professionnelle doit être maintenue pendant toute la durée du contrat. À vérifier avec l’assureur : la couverture de postes que le contrat qualifie lui-même de « non dommages et intérêts » (pénalités, frais de tiers).</w:t>
      </w:r>
    </w:p>
    <w:p w14:paraId="100000DE" w14:textId="77777777">
      <w:pPr>
        <w:pStyle w:val="CommentText"/>
      </w:pPr>
    </w:p>
    <w:p w14:paraId="100000DF" w14:textId="77777777">
      <w:pPr>
        <w:pStyle w:val="CommentText"/>
      </w:pPr>
      <w:r>
        <w:rPr>
          <w:b/>
        </w:rPr>
        <w:t xml:space="preserve">RISQUE 10/17 — Contrat sans fin certaine, sans sortie pour le Prestataire · passage lié</w:t>
      </w:r>
    </w:p>
    <w:p w14:paraId="100000E0" w14:textId="77777777">
      <w:pPr>
        <w:pStyle w:val="CommentText"/>
      </w:pPr>
      <w:r>
        <w:t xml:space="preserve">L’assurance doit être maintenue jusqu’à la fin du contrat, dont le terme dépend du Client.</w:t>
      </w:r>
    </w:p>
    <w:p w14:paraId="100000E1" w14:textId="77777777">
      <w:pPr>
        <w:pStyle w:val="CommentText"/>
      </w:pPr>
      <w:r>
        <w:rPr>
          <w:i/>
        </w:rPr>
        <w:t xml:space="preserve">Explication complète : commentaire sur l’article 14.1. Autres passages liés : 14.1 ; 3.1 (point hebdomadaire) ; 5.2 (hébergement et services tiers) ; 11.1 (confidentialité) ; 13.1 ; 14.2 ; 14.3 ; A.3 ; B.2 (durée de l’accompagnement) ; B.4.</w:t>
      </w:r>
    </w:p>
  </w:comment>
  <w:comment w:id="41" w:author="Claude" w:date="2026-09-30T10:28:53Z" w:initials="C">
    <w:p w14:paraId="100000E2" w14:textId="77777777">
      <w:pPr>
        <w:pStyle w:val="CommentText"/>
      </w:pPr>
      <w:r>
        <w:rPr>
          <w:rStyle w:val="CommentReference"/>
        </w:rPr>
        <w:annotationRef/>
      </w:r>
      <w:r>
        <w:rPr>
          <w:b/>
        </w:rPr>
        <w:t xml:space="preserve">RISQUE 17/17 — Points secondaires : intitulés trompeurs · gravité du risque 17 : faible à modéré</w:t>
      </w:r>
    </w:p>
    <w:p w14:paraId="100000E3" w14:textId="77777777">
      <w:pPr>
        <w:pStyle w:val="CommentText"/>
      </w:pPr>
      <w:r>
        <w:t xml:space="preserve">« Disponibilité commerciale » désigne une non-concurrence (13.1, risque 9). La garantie de 10.2 est présentée « Afin de simplifier le traitement des réclamations ». Les « Frais de continuité » (2.3) sont en réalité une responsabilité sans plafond.</w:t>
      </w:r>
    </w:p>
    <w:p w14:paraId="100000E4" w14:textId="77777777">
      <w:pPr>
        <w:pStyle w:val="CommentText"/>
      </w:pPr>
      <w:r>
        <w:rPr>
          <w:i/>
        </w:rPr>
        <w:t xml:space="preserve">Passages liés à ce point (surlignés et commentés) : 2.3 ; 10.2.</w:t>
      </w:r>
    </w:p>
    <w:p w14:paraId="100000E5" w14:textId="77777777">
      <w:pPr>
        <w:pStyle w:val="CommentText"/>
      </w:pPr>
    </w:p>
    <w:p w14:paraId="100000E6" w14:textId="77777777">
      <w:pPr>
        <w:pStyle w:val="CommentText"/>
      </w:pPr>
      <w:r>
        <w:rPr>
          <w:b/>
        </w:rPr>
        <w:t xml:space="preserve">RISQUE 9/17 — Non-concurrence sous le titre « Disponibilité commerciale » · passage lié</w:t>
      </w:r>
    </w:p>
    <w:p w14:paraId="100000E7" w14:textId="77777777">
      <w:pPr>
        <w:pStyle w:val="CommentText"/>
      </w:pPr>
      <w:r>
        <w:t xml:space="preserve">Le titre est trompeur : « Disponibilité commerciale » désigne en réalité une clause de non-concurrence (13.1).</w:t>
      </w:r>
    </w:p>
    <w:p w14:paraId="100000E8" w14:textId="77777777">
      <w:pPr>
        <w:pStyle w:val="CommentText"/>
      </w:pPr>
      <w:r>
        <w:rPr>
          <w:i/>
        </w:rPr>
        <w:t xml:space="preserve">Explication complète : commentaire sur l’article 13.1. Autres passages liés : 13.1 ; 14.1 ; B.2 (durée de l’accompagnement).</w:t>
      </w:r>
    </w:p>
  </w:comment>
  <w:comment w:id="42" w:author="Claude" w:date="2026-09-30T10:28:53Z" w:initials="C">
    <w:p w14:paraId="100000E9" w14:textId="77777777">
      <w:pPr>
        <w:pStyle w:val="CommentText"/>
      </w:pPr>
      <w:r>
        <w:rPr>
          <w:rStyle w:val="CommentReference"/>
        </w:rPr>
        <w:annotationRef/>
      </w:r>
      <w:r>
        <w:rPr>
          <w:b/>
        </w:rPr>
        <w:t xml:space="preserve">RISQUE 9/17 — Non-concurrence sous le titre « Disponibilité commerciale » · gravité : critique</w:t>
      </w:r>
    </w:p>
    <w:p w14:paraId="100000EA" w14:textId="77777777">
      <w:pPr>
        <w:pStyle w:val="CommentText"/>
      </w:pPr>
      <w:r>
        <w:t xml:space="preserve">Interdiction de toute prestation de site web pour une entreprise du conseil (management, informatique, juridique, financier, RH, marketing…), sur toute la France, clients existants compris, sans contrepartie. Dès la signature, le Prestataire doit cesser de maintenir les sites de ses clients actuels du conseil, ce qui le met en défaut vis-à-vis d’eux. Durée : la « mission » dure jusqu’à la fin de l’accompagnement (14.1), soit 24 mois après la mise en production (B.2), puis l’interdiction court 24 mois de plus. Avec une mise en production le 04/01/2027, elle court jusqu’au 04/01/2031, soit environ 4 ans et 3 mois après la signature ; si la mise en production est repoussée, l’interdiction l’est aussi ; si elle n’a jamais lieu, l’interdiction n’a pas de fin. Aucune contrepartie : le prix de 12 000 € la couvre, alors qu’il peut se réduire à 3 600 €, voire à zéro. Une résiliation pour convenance par le Client (14.2) déclenche aussi les 24 mois. Nuance : l’interdiction se limite aux prestations de site web.</w:t>
      </w:r>
    </w:p>
    <w:p w14:paraId="100000EB" w14:textId="77777777">
      <w:pPr>
        <w:pStyle w:val="CommentText"/>
      </w:pPr>
      <w:r>
        <w:rPr>
          <w:i/>
        </w:rPr>
        <w:t xml:space="preserve">Passages liés à ce risque (surlignés et commentés) : article 13 (titre) ; 14.1 ; B.2 (durée de l’accompagnement).</w:t>
      </w:r>
    </w:p>
    <w:p w14:paraId="100000EC" w14:textId="77777777">
      <w:pPr>
        <w:pStyle w:val="CommentText"/>
      </w:pPr>
    </w:p>
    <w:p w14:paraId="100000ED" w14:textId="77777777">
      <w:pPr>
        <w:pStyle w:val="CommentText"/>
      </w:pPr>
      <w:r>
        <w:rPr>
          <w:b/>
        </w:rPr>
        <w:t xml:space="preserve">RISQUE 17/17 — Points secondaires : références · gravité du risque 17 : faible à modéré</w:t>
      </w:r>
    </w:p>
    <w:p w14:paraId="100000EE" w14:textId="77777777">
      <w:pPr>
        <w:pStyle w:val="CommentText"/>
      </w:pPr>
      <w:r>
        <w:t xml:space="preserve">Aucune clause n’autorise le Prestataire à citer le projet dans un portfolio. De toute façon, 13.1 ferme le secteur concerné.</w:t>
      </w:r>
    </w:p>
    <w:p w14:paraId="100000EF" w14:textId="77777777">
      <w:pPr>
        <w:pStyle w:val="CommentText"/>
      </w:pPr>
    </w:p>
    <w:p w14:paraId="100000F0" w14:textId="77777777">
      <w:pPr>
        <w:pStyle w:val="CommentText"/>
      </w:pPr>
      <w:r>
        <w:rPr>
          <w:b/>
        </w:rPr>
        <w:t xml:space="preserve">RISQUE 10/17 — Contrat sans fin certaine, sans sortie pour le Prestataire · passage lié</w:t>
      </w:r>
    </w:p>
    <w:p w14:paraId="100000F1" w14:textId="77777777">
      <w:pPr>
        <w:pStyle w:val="CommentText"/>
      </w:pPr>
      <w:r>
        <w:t xml:space="preserve">La non-concurrence court pendant la mission, qui ne finit qu’avec l’accompagnement, puis 24 mois de plus : sa fin dépend du Client.</w:t>
      </w:r>
    </w:p>
    <w:p w14:paraId="100000F2" w14:textId="77777777">
      <w:pPr>
        <w:pStyle w:val="CommentText"/>
      </w:pPr>
      <w:r>
        <w:rPr>
          <w:i/>
        </w:rPr>
        <w:t xml:space="preserve">Explication complète : commentaire sur l’article 14.1. Autres passages liés : 14.1 ; 3.1 (point hebdomadaire) ; 5.2 (hébergement et services tiers) ; 11.1 (confidentialité) ; 12.3 (assurance) ; 14.2 ; 14.3 ; A.3 ; B.2 (durée de l’accompagnement) ; B.4.</w:t>
      </w:r>
    </w:p>
  </w:comment>
  <w:comment w:id="43" w:author="Claude" w:date="2026-09-30T10:28:53Z" w:initials="C">
    <w:p w14:paraId="100000F3" w14:textId="77777777">
      <w:pPr>
        <w:pStyle w:val="CommentText"/>
      </w:pPr>
      <w:r>
        <w:rPr>
          <w:rStyle w:val="CommentReference"/>
        </w:rPr>
        <w:annotationRef/>
      </w:r>
      <w:r>
        <w:rPr>
          <w:b/>
        </w:rPr>
        <w:t xml:space="preserve">RISQUE 10/17 — Contrat sans fin certaine, sans sortie pour le Prestataire · gravité : élevé</w:t>
      </w:r>
    </w:p>
    <w:p w14:paraId="100000F4" w14:textId="77777777">
      <w:pPr>
        <w:pStyle w:val="CommentText"/>
      </w:pPr>
      <w:r>
        <w:t xml:space="preserve">Le contrat dure jusqu’à la fin de l’accompagnement, qui court 24 mois après une « mise en production » non définie et décidée par le Client, qui contrôle l’hébergement et le domaine (5.2, B.4). La fin du contrat dépend donc de lui. Plusieurs obligations sont suspendues à cette fin : la non-concurrence (13.1), la confidentialité, qui court trois ans après la fin (jusqu’en 2032 dans le scénario de base, 11.1), l’assurance à maintenir (12.3) et le point hebdomadaire (3.1). Le Prestataire n’a aucune faculté de résiliation pour convenance (14.2 est réservée au Client) et ne peut résilier que pour « manquement grave » (14.3) ; or les retards du Client ne sont que des « objectifs » manqués (A.3). Même en cas de résiliation, les « sommes dues » risquent de se réduire à l’acompte, puisque le solde n’est dû qu’à la recette définitive. Nuance : le Client doit fournir contenus et validations (3.2), solliciter le partenaire (B.1) et transmettre le procès-verbal (6.2) ; une mise en demeure sur ces points reste possible, mais son issue est incertaine.</w:t>
      </w:r>
    </w:p>
    <w:p w14:paraId="100000F5" w14:textId="77777777">
      <w:pPr>
        <w:pStyle w:val="CommentText"/>
      </w:pPr>
      <w:r>
        <w:rPr>
          <w:i/>
        </w:rPr>
        <w:t xml:space="preserve">Passages liés à ce risque (surlignés et commentés) : 3.1 (point hebdomadaire) ; 5.2 (hébergement et services tiers) ; 11.1 (confidentialité) ; 12.3 (assurance) ; 13.1 ; 14.2 ; 14.3 ; A.3 ; B.2 (durée de l’accompagnement) ; B.4.</w:t>
      </w:r>
    </w:p>
    <w:p w14:paraId="100000F6" w14:textId="77777777">
      <w:pPr>
        <w:pStyle w:val="CommentText"/>
      </w:pPr>
    </w:p>
    <w:p w14:paraId="100000F7" w14:textId="77777777">
      <w:pPr>
        <w:pStyle w:val="CommentText"/>
      </w:pPr>
      <w:r>
        <w:rPr>
          <w:b/>
        </w:rPr>
        <w:t xml:space="preserve">RISQUE 9/17 — Non-concurrence sous le titre « Disponibilité commerciale » · passage lié</w:t>
      </w:r>
    </w:p>
    <w:p w14:paraId="100000F8" w14:textId="77777777">
      <w:pPr>
        <w:pStyle w:val="CommentText"/>
      </w:pPr>
      <w:r>
        <w:t xml:space="preserve">La « mission » durant jusqu’à la fin de l’accompagnement, la non-concurrence de 13.1 couvre ces 24 mois, puis 24 mois supplémentaires.</w:t>
      </w:r>
    </w:p>
    <w:p w14:paraId="100000F9" w14:textId="77777777">
      <w:pPr>
        <w:pStyle w:val="CommentText"/>
      </w:pPr>
      <w:r>
        <w:rPr>
          <w:i/>
        </w:rPr>
        <w:t xml:space="preserve">Explication complète : commentaire sur l’article 13.1. Autres passages liés : 13.1 ; article 13 (titre) ; B.2 (durée de l’accompagnement).</w:t>
      </w:r>
    </w:p>
  </w:comment>
  <w:comment w:id="44" w:author="Claude" w:date="2026-09-30T10:28:53Z" w:initials="C">
    <w:p w14:paraId="100000FA" w14:textId="77777777">
      <w:pPr>
        <w:pStyle w:val="CommentText"/>
      </w:pPr>
      <w:r>
        <w:rPr>
          <w:rStyle w:val="CommentReference"/>
        </w:rPr>
        <w:annotationRef/>
      </w:r>
      <w:r>
        <w:rPr>
          <w:b/>
        </w:rPr>
        <w:t xml:space="preserve">RISQUE 2/17 — Résiliation pour convenance : site gratuit et acompte à rendre · gravité : critique</w:t>
      </w:r>
    </w:p>
    <w:p w14:paraId="100000FB" w14:textId="77777777">
      <w:pPr>
        <w:pStyle w:val="CommentText"/>
      </w:pPr>
      <w:r>
        <w:t xml:space="preserve">Le Client peut résilier à tout moment avec cinq jours ouvrés de préavis. Seuls les livrables ayant obtenu leur recette définitive sont payés ; or celle-ci suppose le visa du partenaire (2.2, B.1). Avant ce visa, aucun livrable ne remplit la condition, même livré, recetté et en ligne : la rémunération tombe à 0 € et la « fraction de l’acompte » à restituer devient l’acompte entier. Le « prorata du prix correspondant » est de toute façon incalculable : le prix est un forfait global (7.1) et l’annexe A ne donne aucun prix par livrable. Scénario : livraison du site et du code le 30/11 ; résiliation notifiée le 04/12, effective le 11/12 ; le Prestataire reçoit 0 € et doit rendre 3 600 € HT au plus tard le 26/12/2026. Le Client garde les droits exclusifs et le code (9.3) et peut faire terminer ou maintenir le site par un tiers (9.2). Variante pire : le Client signale d’abord une « défaillance » (B.3), fait finir le site par un tiers aux frais du Prestataire, puis résilie (par exemple 3 600 € rendus + 7 000 € de frais de tiers). La résiliation déclenche aussi les 24 mois de non-concurrence (13.1). Asymétries : le Prestataire rembourse sous 15 jours alors que le Client paie à 30 jours, et le Prestataire n’a aucune faculté de résiliation pour convenance.</w:t>
      </w:r>
    </w:p>
    <w:p w14:paraId="100000FC" w14:textId="77777777">
      <w:pPr>
        <w:pStyle w:val="CommentText"/>
      </w:pPr>
      <w:r>
        <w:rPr>
          <w:i/>
        </w:rPr>
        <w:t xml:space="preserve">Passages liés à ce risque (surlignés et commentés) : 2.2 (recette définitive) ; 7.1 (prix forfaitaire) ; 7.2 (paiement à 30 jours) ; 9.2 ; 9.3 ; B.1 ; B.3.</w:t>
      </w:r>
    </w:p>
    <w:p w14:paraId="100000FD" w14:textId="77777777">
      <w:pPr>
        <w:pStyle w:val="CommentText"/>
      </w:pPr>
    </w:p>
    <w:p w14:paraId="100000FE" w14:textId="77777777">
      <w:pPr>
        <w:pStyle w:val="CommentText"/>
      </w:pPr>
      <w:r>
        <w:rPr>
          <w:b/>
        </w:rPr>
        <w:t xml:space="preserve">RISQUE 10/17 — Contrat sans fin certaine, sans sortie pour le Prestataire · passage lié</w:t>
      </w:r>
    </w:p>
    <w:p w14:paraId="100000FF" w14:textId="77777777">
      <w:pPr>
        <w:pStyle w:val="CommentText"/>
      </w:pPr>
      <w:r>
        <w:t xml:space="preserve">La résiliation pour convenance est réservée au Client : le Prestataire n’a pas d’équivalent pour sortir du contrat.</w:t>
      </w:r>
    </w:p>
    <w:p w14:paraId="10000100" w14:textId="77777777">
      <w:pPr>
        <w:pStyle w:val="CommentText"/>
      </w:pPr>
      <w:r>
        <w:rPr>
          <w:i/>
        </w:rPr>
        <w:t xml:space="preserve">Explication complète : commentaire sur l’article 14.1. Autres passages liés : 14.1 ; 3.1 (point hebdomadaire) ; 5.2 (hébergement et services tiers) ; 11.1 (confidentialité) ; 12.3 (assurance) ; 13.1 ; 14.3 ; A.3 ; B.2 (durée de l’accompagnement) ; B.4.</w:t>
      </w:r>
    </w:p>
  </w:comment>
  <w:comment w:id="45" w:author="Claude" w:date="2026-09-30T10:28:53Z" w:initials="C">
    <w:p w14:paraId="10000101" w14:textId="77777777">
      <w:pPr>
        <w:pStyle w:val="CommentText"/>
      </w:pPr>
      <w:r>
        <w:rPr>
          <w:rStyle w:val="CommentReference"/>
        </w:rPr>
        <w:annotationRef/>
      </w:r>
      <w:r>
        <w:rPr>
          <w:b/>
        </w:rPr>
        <w:t xml:space="preserve">RISQUE 10/17 — Contrat sans fin certaine, sans sortie pour le Prestataire · passage lié</w:t>
      </w:r>
    </w:p>
    <w:p w14:paraId="10000102" w14:textId="77777777">
      <w:pPr>
        <w:pStyle w:val="CommentText"/>
      </w:pPr>
      <w:r>
        <w:t xml:space="preserve">Seule sortie pour le Prestataire : un « manquement grave » du Client, difficile à caractériser puisque ses retards ne sont que des objectifs (A.3). Même alors, les « sommes dues » risquent de se réduire à l’acompte, le solde n’étant dû qu’à la recette définitive.</w:t>
      </w:r>
    </w:p>
    <w:p w14:paraId="10000103" w14:textId="77777777">
      <w:pPr>
        <w:pStyle w:val="CommentText"/>
      </w:pPr>
      <w:r>
        <w:rPr>
          <w:i/>
        </w:rPr>
        <w:t xml:space="preserve">Explication complète : commentaire sur l’article 14.1. Autres passages liés : 14.1 ; 3.1 (point hebdomadaire) ; 5.2 (hébergement et services tiers) ; 11.1 (confidentialité) ; 12.3 (assurance) ; 13.1 ; 14.2 ; A.3 ; B.2 (durée de l’accompagnement) ; B.4.</w:t>
      </w:r>
    </w:p>
  </w:comment>
  <w:comment w:id="46" w:author="Claude" w:date="2026-09-30T10:28:53Z" w:initials="C">
    <w:p w14:paraId="10000104" w14:textId="77777777">
      <w:pPr>
        <w:pStyle w:val="CommentText"/>
      </w:pPr>
      <w:r>
        <w:rPr>
          <w:rStyle w:val="CommentReference"/>
        </w:rPr>
        <w:annotationRef/>
      </w:r>
      <w:r>
        <w:rPr>
          <w:b/>
        </w:rPr>
        <w:t xml:space="preserve">RISQUE 4/17 — Date de livraison figée malgré les retards du Client · passage lié</w:t>
      </w:r>
    </w:p>
    <w:p w14:paraId="10000105" w14:textId="77777777">
      <w:pPr>
        <w:pStyle w:val="CommentText"/>
      </w:pPr>
      <w:r>
        <w:t xml:space="preserve">La force majeure n’est pas définie : une maladie de l’entrepreneur individuel, qui travaille seul, reste exposée aux pénalités.</w:t>
      </w:r>
    </w:p>
    <w:p w14:paraId="10000106" w14:textId="77777777">
      <w:pPr>
        <w:pStyle w:val="CommentText"/>
      </w:pPr>
      <w:r>
        <w:rPr>
          <w:i/>
        </w:rPr>
        <w:t xml:space="preserve">Explication complète : commentaire sur l’article 3.3. Autres passages liés : 3.3 ; 2.4 ; 3.2 (traçabilité, en vert) ; 8.1 ; A.3.</w:t>
      </w:r>
    </w:p>
  </w:comment>
  <w:comment w:id="47" w:author="Claude" w:date="2026-09-30T10:28:53Z" w:initials="C">
    <w:p w14:paraId="10000107" w14:textId="77777777">
      <w:pPr>
        <w:pStyle w:val="CommentText"/>
      </w:pPr>
      <w:r>
        <w:rPr>
          <w:rStyle w:val="CommentReference"/>
        </w:rPr>
        <w:annotationRef/>
      </w:r>
      <w:r>
        <w:rPr>
          <w:b/>
        </w:rPr>
        <w:t xml:space="preserve">RISQUE 1/17 — Solde de 8 400 € HT suspendu au visa d’un tiers · passage lié</w:t>
      </w:r>
    </w:p>
    <w:p w14:paraId="10000108" w14:textId="77777777">
      <w:pPr>
        <w:pStyle w:val="CommentText"/>
      </w:pPr>
      <w:r>
        <w:t xml:space="preserve">Avant toute action en justice pour contester ce blocage, il faut d’abord 30 jours de recherche amiable.</w:t>
      </w:r>
    </w:p>
    <w:p w14:paraId="10000109" w14:textId="77777777">
      <w:pPr>
        <w:pStyle w:val="CommentText"/>
      </w:pPr>
      <w:r>
        <w:rPr>
          <w:i/>
        </w:rPr>
        <w:t xml:space="preserve">Explication complète : commentaire sur l’article 7.2 (solde). Autres passages liés : 7.2 (solde) ; 2.2 (recette définitive) ; 6.1 ; 6.2 (procès-verbal) ; 7.2 (facture de solde exclue) ; 7.3 ; A.3 ; B.1 ; B.2 (durée de l’accompagnement).</w:t>
      </w:r>
    </w:p>
  </w:comment>
  <w:comment w:id="48" w:author="Claude" w:date="2026-09-30T10:28:53Z" w:initials="C">
    <w:p w14:paraId="1000010A" w14:textId="77777777">
      <w:pPr>
        <w:pStyle w:val="CommentText"/>
      </w:pPr>
      <w:r>
        <w:rPr>
          <w:rStyle w:val="CommentReference"/>
        </w:rPr>
        <w:annotationRef/>
      </w:r>
      <w:r>
        <w:rPr>
          <w:b/>
        </w:rPr>
        <w:t xml:space="preserve">RISQUE 11/17 — 24 mois de maintenance illimitée inclus dans le prix · passage lié</w:t>
      </w:r>
    </w:p>
    <w:p w14:paraId="1000010B" w14:textId="77777777">
      <w:pPr>
        <w:pStyle w:val="CommentText"/>
      </w:pPr>
      <w:r>
        <w:t xml:space="preserve">La recette ne teste que Chrome et Safari dans leurs versions courantes à la signature, alors que B.2 impose la compatibilité avec les « nouvelles versions des navigateurs », sans les limiter, pendant 24 mois.</w:t>
      </w:r>
    </w:p>
    <w:p w14:paraId="1000010C" w14:textId="77777777">
      <w:pPr>
        <w:pStyle w:val="CommentText"/>
      </w:pPr>
      <w:r>
        <w:rPr>
          <w:i/>
        </w:rPr>
        <w:t xml:space="preserve">Explication complète : commentaire sur la clause B.2 (étendue de l’accompagnement). Autres passages liés : B.2 (étendue de l’accompagnement) ; 3.1 (point hebdomadaire) ; 5.2 (hébergement et services tiers) ; B.2 (durée de l’accompagnement).</w:t>
      </w:r>
    </w:p>
    <w:p w14:paraId="1000010D" w14:textId="77777777">
      <w:pPr>
        <w:pStyle w:val="CommentText"/>
      </w:pPr>
    </w:p>
    <w:p w14:paraId="1000010E" w14:textId="77777777">
      <w:pPr>
        <w:pStyle w:val="CommentText"/>
      </w:pPr>
      <w:r>
        <w:rPr>
          <w:b/>
        </w:rPr>
        <w:t xml:space="preserve">RISQUE 14/17 — Recette technique répétable et élargissable · passage lié</w:t>
      </w:r>
    </w:p>
    <w:p w14:paraId="1000010F" w14:textId="77777777">
      <w:pPr>
        <w:pStyle w:val="CommentText"/>
      </w:pPr>
      <w:r>
        <w:t xml:space="preserve">Les cinq vérifications prévues ici peuvent être dépassées si le Client invoque la définition du corps (2.2) et sa primauté (1.2). Le test de « réception d’un message de test » dépend en outre de services contrôlés par le Client.</w:t>
      </w:r>
    </w:p>
    <w:p w14:paraId="10000110" w14:textId="77777777">
      <w:pPr>
        <w:pStyle w:val="CommentText"/>
      </w:pPr>
      <w:r>
        <w:rPr>
          <w:i/>
        </w:rPr>
        <w:t xml:space="preserve">Explication complète : commentaire sur l’article 6.1. Autres passages liés : 6.1 ; 1.2 (hiérarchie) ; 2.2 (recette technique).</w:t>
      </w:r>
    </w:p>
  </w:comment>
  <w:comment w:id="49" w:author="Claude" w:date="2026-09-30T10:28:53Z" w:initials="C">
    <w:p w14:paraId="10000111" w14:textId="77777777">
      <w:pPr>
        <w:pStyle w:val="CommentText"/>
      </w:pPr>
      <w:r>
        <w:rPr>
          <w:rStyle w:val="CommentReference"/>
        </w:rPr>
        <w:annotationRef/>
      </w:r>
      <w:r>
        <w:rPr>
          <w:b/>
        </w:rPr>
        <w:t xml:space="preserve">RISQUE 1/17 — Solde de 8 400 € HT suspendu au visa d’un tiers · passage lié</w:t>
      </w:r>
    </w:p>
    <w:p w14:paraId="10000112" w14:textId="77777777">
      <w:pPr>
        <w:pStyle w:val="CommentText"/>
      </w:pPr>
      <w:r>
        <w:t xml:space="preserve">Les dates de remise des contenus ne sont que des objectifs : le Prestataire devra intégrer gratuitement des contenus tardifs et les retouches du partenaire pour espérer être payé.</w:t>
      </w:r>
    </w:p>
    <w:p w14:paraId="10000113" w14:textId="77777777">
      <w:pPr>
        <w:pStyle w:val="CommentText"/>
      </w:pPr>
      <w:r>
        <w:rPr>
          <w:i/>
        </w:rPr>
        <w:t xml:space="preserve">Explication complète : commentaire sur l’article 7.2 (solde). Autres passages liés : 7.2 (solde) ; 2.2 (recette définitive) ; 6.1 ; 6.2 (procès-verbal) ; 7.2 (facture de solde exclue) ; 7.3 ; 15.1 (phase amiable) ; B.1 ; B.2 (durée de l’accompagnement).</w:t>
      </w:r>
    </w:p>
    <w:p w14:paraId="10000114" w14:textId="77777777">
      <w:pPr>
        <w:pStyle w:val="CommentText"/>
      </w:pPr>
    </w:p>
    <w:p w14:paraId="10000115" w14:textId="77777777">
      <w:pPr>
        <w:pStyle w:val="CommentText"/>
      </w:pPr>
      <w:r>
        <w:rPr>
          <w:b/>
        </w:rPr>
        <w:t xml:space="preserve">RISQUE 4/17 — Date de livraison figée malgré les retards du Client · passage lié</w:t>
      </w:r>
    </w:p>
    <w:p w14:paraId="10000116" w14:textId="77777777">
      <w:pPr>
        <w:pStyle w:val="CommentText"/>
      </w:pPr>
      <w:r>
        <w:t xml:space="preserve">Les dates de contribution du Client ne sont que des « objectifs de coordination » : leur dépassement ne décale pas la livraison du 30/11.</w:t>
      </w:r>
    </w:p>
    <w:p w14:paraId="10000117" w14:textId="77777777">
      <w:pPr>
        <w:pStyle w:val="CommentText"/>
      </w:pPr>
      <w:r>
        <w:rPr>
          <w:i/>
        </w:rPr>
        <w:t xml:space="preserve">Explication complète : commentaire sur l’article 3.3. Autres passages liés : 3.3 ; 2.4 ; 3.2 (traçabilité, en vert) ; 8.1 ; 15.1 (force majeure).</w:t>
      </w:r>
    </w:p>
    <w:p w14:paraId="10000118" w14:textId="77777777">
      <w:pPr>
        <w:pStyle w:val="CommentText"/>
      </w:pPr>
    </w:p>
    <w:p w14:paraId="10000119" w14:textId="77777777">
      <w:pPr>
        <w:pStyle w:val="CommentText"/>
      </w:pPr>
      <w:r>
        <w:rPr>
          <w:b/>
        </w:rPr>
        <w:t xml:space="preserve">RISQUE 10/17 — Contrat sans fin certaine, sans sortie pour le Prestataire · passage lié</w:t>
      </w:r>
    </w:p>
    <w:p w14:paraId="1000011A" w14:textId="77777777">
      <w:pPr>
        <w:pStyle w:val="CommentText"/>
      </w:pPr>
      <w:r>
        <w:t xml:space="preserve">Les retards du Client n’étant que des « objectifs » manqués, ils caractérisent difficilement le « manquement grave » exigé pour que le Prestataire puisse résilier (14.3).</w:t>
      </w:r>
    </w:p>
    <w:p w14:paraId="1000011B" w14:textId="77777777">
      <w:pPr>
        <w:pStyle w:val="CommentText"/>
      </w:pPr>
      <w:r>
        <w:rPr>
          <w:i/>
        </w:rPr>
        <w:t xml:space="preserve">Explication complète : commentaire sur l’article 14.1. Autres passages liés : 14.1 ; 3.1 (point hebdomadaire) ; 5.2 (hébergement et services tiers) ; 11.1 (confidentialité) ; 12.3 (assurance) ; 13.1 ; 14.2 ; 14.3 ; B.2 (durée de l’accompagnement) ; B.4.</w:t>
      </w:r>
    </w:p>
    <w:p w14:paraId="1000011C" w14:textId="77777777">
      <w:pPr>
        <w:pStyle w:val="CommentText"/>
      </w:pPr>
    </w:p>
    <w:p w14:paraId="1000011D" w14:textId="77777777">
      <w:pPr>
        <w:pStyle w:val="CommentText"/>
      </w:pPr>
      <w:r>
        <w:rPr>
          <w:b/>
        </w:rPr>
        <w:t xml:space="preserve">RISQUE 15/17 — Livraison mal définie et dépendante du Client · passage lié</w:t>
      </w:r>
    </w:p>
    <w:p w14:paraId="1000011E" w14:textId="77777777">
      <w:pPr>
        <w:pStyle w:val="CommentText"/>
      </w:pPr>
      <w:r>
        <w:t xml:space="preserve">Les accès techniques du Client ne sont attendus « avant le 6 novembre » qu’à titre d’objectif : s’ils arrivent tard, la livraison sur la préproduction recule (exemple : accès le 04/12, déploiement le 07/12, 4 200 € réclamables).</w:t>
      </w:r>
    </w:p>
    <w:p w14:paraId="1000011F" w14:textId="77777777">
      <w:pPr>
        <w:pStyle w:val="CommentText"/>
      </w:pPr>
      <w:r>
        <w:rPr>
          <w:i/>
        </w:rPr>
        <w:t xml:space="preserve">Explication complète : commentaire sur l’article 2.1 (définition de la livraison). Autres passages liés : 2.1 (définition de la livraison) ; 5.1 (préproduction) ; 5.1 (notice de déploiement) ; 8.1 ; 9.1 (liste des licences) ; 9.3.</w:t>
      </w:r>
    </w:p>
  </w:comment>
  <w:comment w:id="50" w:author="Claude" w:date="2026-09-30T10:28:53Z" w:initials="C">
    <w:p w14:paraId="10000120" w14:textId="77777777">
      <w:pPr>
        <w:pStyle w:val="CommentText"/>
      </w:pPr>
      <w:r>
        <w:rPr>
          <w:rStyle w:val="CommentReference"/>
        </w:rPr>
        <w:annotationRef/>
      </w:r>
      <w:r>
        <w:rPr>
          <w:b/>
        </w:rPr>
        <w:t xml:space="preserve">RISQUE 1/17 — Solde de 8 400 € HT suspendu au visa d’un tiers · passage lié</w:t>
      </w:r>
    </w:p>
    <w:p w14:paraId="10000121" w14:textId="77777777">
      <w:pPr>
        <w:pStyle w:val="CommentText"/>
      </w:pPr>
      <w:r>
        <w:t xml:space="preserve">Condition du paiement placée en annexe : visa écrit d’un tiers non signataire, sans délai, dont le silence ne vaut pas visa, sans mécanisme de substitution. Le Client ne le sollicite qu’après la recette technique, sans date limite. Le visa porte sur « la présentation de son offre et de sa marque », ce qui suppose en pratique les contenus définitifs du Client.</w:t>
      </w:r>
    </w:p>
    <w:p w14:paraId="10000122" w14:textId="77777777">
      <w:pPr>
        <w:pStyle w:val="CommentText"/>
      </w:pPr>
      <w:r>
        <w:rPr>
          <w:i/>
        </w:rPr>
        <w:t xml:space="preserve">Explication complète : commentaire sur l’article 7.2 (solde). Autres passages liés : 7.2 (solde) ; 2.2 (recette définitive) ; 6.1 ; 6.2 (procès-verbal) ; 7.2 (facture de solde exclue) ; 7.3 ; 15.1 (phase amiable) ; A.3 ; B.2 (durée de l’accompagnement).</w:t>
      </w:r>
    </w:p>
    <w:p w14:paraId="10000123" w14:textId="77777777">
      <w:pPr>
        <w:pStyle w:val="CommentText"/>
      </w:pPr>
    </w:p>
    <w:p w14:paraId="10000124" w14:textId="77777777">
      <w:pPr>
        <w:pStyle w:val="CommentText"/>
      </w:pPr>
      <w:r>
        <w:rPr>
          <w:b/>
        </w:rPr>
        <w:t xml:space="preserve">RISQUE 2/17 — Résiliation pour convenance : site gratuit et acompte à rendre · passage lié</w:t>
      </w:r>
    </w:p>
    <w:p w14:paraId="10000125" w14:textId="77777777">
      <w:pPr>
        <w:pStyle w:val="CommentText"/>
      </w:pPr>
      <w:r>
        <w:t xml:space="preserve">Tant que le visa manque, aucun livrable ne peut être rémunéré en cas de résiliation pour convenance (14.2), et l’acompte entier est à restituer.</w:t>
      </w:r>
    </w:p>
    <w:p w14:paraId="10000126" w14:textId="77777777">
      <w:pPr>
        <w:pStyle w:val="CommentText"/>
      </w:pPr>
      <w:r>
        <w:rPr>
          <w:i/>
        </w:rPr>
        <w:t xml:space="preserve">Explication complète : commentaire sur l’article 14.2. Autres passages liés : 14.2 ; 2.2 (recette définitive) ; 7.1 (prix forfaitaire) ; 7.2 (paiement à 30 jours) ; 9.2 ; 9.3 ; B.3.</w:t>
      </w:r>
    </w:p>
  </w:comment>
  <w:comment w:id="51" w:author="Claude" w:date="2026-09-30T10:28:53Z" w:initials="C">
    <w:p w14:paraId="10000127" w14:textId="77777777">
      <w:pPr>
        <w:pStyle w:val="CommentText"/>
      </w:pPr>
      <w:r>
        <w:rPr>
          <w:rStyle w:val="CommentReference"/>
        </w:rPr>
        <w:annotationRef/>
      </w:r>
      <w:r>
        <w:rPr>
          <w:b/>
        </w:rPr>
        <w:t xml:space="preserve">RISQUE 1/17 — Solde de 8 400 € HT suspendu au visa d’un tiers · passage lié</w:t>
      </w:r>
    </w:p>
    <w:p w14:paraId="10000128" w14:textId="77777777">
      <w:pPr>
        <w:pStyle w:val="CommentText"/>
      </w:pPr>
      <w:r>
        <w:t xml:space="preserve">L’accompagnement de 24 mois démarre à la mise en production, pas à la recette définitive : il reste dû même si le solde n’est jamais payé.</w:t>
      </w:r>
    </w:p>
    <w:p w14:paraId="10000129" w14:textId="77777777">
      <w:pPr>
        <w:pStyle w:val="CommentText"/>
      </w:pPr>
      <w:r>
        <w:rPr>
          <w:i/>
        </w:rPr>
        <w:t xml:space="preserve">Explication complète : commentaire sur l’article 7.2 (solde). Autres passages liés : 7.2 (solde) ; 2.2 (recette définitive) ; 6.1 ; 6.2 (procès-verbal) ; 7.2 (facture de solde exclue) ; 7.3 ; 15.1 (phase amiable) ; A.3 ; B.1.</w:t>
      </w:r>
    </w:p>
    <w:p w14:paraId="1000012A" w14:textId="77777777">
      <w:pPr>
        <w:pStyle w:val="CommentText"/>
      </w:pPr>
    </w:p>
    <w:p w14:paraId="1000012B" w14:textId="77777777">
      <w:pPr>
        <w:pStyle w:val="CommentText"/>
      </w:pPr>
      <w:r>
        <w:rPr>
          <w:b/>
        </w:rPr>
        <w:t xml:space="preserve">RISQUE 9/17 — Non-concurrence sous le titre « Disponibilité commerciale » · passage lié</w:t>
      </w:r>
    </w:p>
    <w:p w14:paraId="1000012C" w14:textId="77777777">
      <w:pPr>
        <w:pStyle w:val="CommentText"/>
      </w:pPr>
      <w:r>
        <w:t xml:space="preserve">Les 24 mois d’accompagnement courent à partir de la mise en production : ils allongent d’autant la « mission », donc la non-concurrence (13.1).</w:t>
      </w:r>
    </w:p>
    <w:p w14:paraId="1000012D" w14:textId="77777777">
      <w:pPr>
        <w:pStyle w:val="CommentText"/>
      </w:pPr>
      <w:r>
        <w:rPr>
          <w:i/>
        </w:rPr>
        <w:t xml:space="preserve">Explication complète : commentaire sur l’article 13.1. Autres passages liés : 13.1 ; article 13 (titre) ; 14.1.</w:t>
      </w:r>
    </w:p>
    <w:p w14:paraId="1000012E" w14:textId="77777777">
      <w:pPr>
        <w:pStyle w:val="CommentText"/>
      </w:pPr>
    </w:p>
    <w:p w14:paraId="1000012F" w14:textId="77777777">
      <w:pPr>
        <w:pStyle w:val="CommentText"/>
      </w:pPr>
      <w:r>
        <w:rPr>
          <w:b/>
        </w:rPr>
        <w:t xml:space="preserve">RISQUE 10/17 — Contrat sans fin certaine, sans sortie pour le Prestataire · passage lié</w:t>
      </w:r>
    </w:p>
    <w:p w14:paraId="10000130" w14:textId="77777777">
      <w:pPr>
        <w:pStyle w:val="CommentText"/>
      </w:pPr>
      <w:r>
        <w:t xml:space="preserve">Point de départ de l’accompagnement, donc de la fin du contrat : la « mise en production », non définie et décidée par le Client.</w:t>
      </w:r>
    </w:p>
    <w:p w14:paraId="10000131" w14:textId="77777777">
      <w:pPr>
        <w:pStyle w:val="CommentText"/>
      </w:pPr>
      <w:r>
        <w:rPr>
          <w:i/>
        </w:rPr>
        <w:t xml:space="preserve">Explication complète : commentaire sur l’article 14.1. Autres passages liés : 14.1 ; 3.1 (point hebdomadaire) ; 5.2 (hébergement et services tiers) ; 11.1 (confidentialité) ; 12.3 (assurance) ; 13.1 ; 14.2 ; 14.3 ; A.3 ; B.4.</w:t>
      </w:r>
    </w:p>
    <w:p w14:paraId="10000132" w14:textId="77777777">
      <w:pPr>
        <w:pStyle w:val="CommentText"/>
      </w:pPr>
    </w:p>
    <w:p w14:paraId="10000133" w14:textId="77777777">
      <w:pPr>
        <w:pStyle w:val="CommentText"/>
      </w:pPr>
      <w:r>
        <w:rPr>
          <w:b/>
        </w:rPr>
        <w:t xml:space="preserve">RISQUE 11/17 — 24 mois de maintenance illimitée inclus dans le prix · passage lié</w:t>
      </w:r>
    </w:p>
    <w:p w14:paraId="10000134" w14:textId="77777777">
      <w:pPr>
        <w:pStyle w:val="CommentText"/>
      </w:pPr>
      <w:r>
        <w:t xml:space="preserve">Point de départ des 24 mois de maintenance gratuite : la mise en production, et non le paiement du solde.</w:t>
      </w:r>
    </w:p>
    <w:p w14:paraId="10000135" w14:textId="77777777">
      <w:pPr>
        <w:pStyle w:val="CommentText"/>
      </w:pPr>
      <w:r>
        <w:rPr>
          <w:i/>
        </w:rPr>
        <w:t xml:space="preserve">Explication complète : commentaire sur la clause B.2 (étendue de l’accompagnement). Autres passages liés : B.2 (étendue de l’accompagnement) ; 3.1 (point hebdomadaire) ; 5.2 (hébergement et services tiers) ; A.2.</w:t>
      </w:r>
    </w:p>
  </w:comment>
  <w:comment w:id="52" w:author="Claude" w:date="2026-09-30T10:28:53Z" w:initials="C">
    <w:p w14:paraId="10000136" w14:textId="77777777">
      <w:pPr>
        <w:pStyle w:val="CommentText"/>
      </w:pPr>
      <w:r>
        <w:rPr>
          <w:rStyle w:val="CommentReference"/>
        </w:rPr>
        <w:annotationRef/>
      </w:r>
      <w:r>
        <w:rPr>
          <w:b/>
        </w:rPr>
        <w:t xml:space="preserve">RISQUE 11/17 — 24 mois de maintenance illimitée inclus dans le prix · gravité : élevé</w:t>
      </w:r>
    </w:p>
    <w:p w14:paraId="10000137" w14:textId="77777777">
      <w:pPr>
        <w:pStyle w:val="CommentText"/>
      </w:pPr>
      <w:r>
        <w:t xml:space="preserve">Le même forfait de 12 000 € couvre la réalisation et deux ans de maintenance, « sans limitation de volume ni facturation complémentaire ». B.2 ne limite pas les navigateurs à Chrome et Safari (seuls testés en recette, A.2), et le Client peut changer ses services tiers à tout moment (5.2). La maintenance démarre à la mise en production, même si le solde n’est jamais payé. Chaque demande non traitée en dix jours ouvrés ouvre la substitution par un tiers (B.3). À une journée d’intervention par mois, cela représente environ 7 200 € au taux implicite de 300 € par jour ; à deux jours par mois, 14 400 €, plus que le prix total. Le point hebdomadaire de 30 minutes (3.1) pourrait aussi être exigé sur toute la durée (environ 118 réunions), lecture toutefois contestable.</w:t>
      </w:r>
    </w:p>
    <w:p w14:paraId="10000138" w14:textId="77777777">
      <w:pPr>
        <w:pStyle w:val="CommentText"/>
      </w:pPr>
      <w:r>
        <w:rPr>
          <w:i/>
        </w:rPr>
        <w:t xml:space="preserve">Passages liés à ce risque (surlignés et commentés) : 3.1 (point hebdomadaire) ; 5.2 (hébergement et services tiers) ; A.2 ; B.2 (durée de l’accompagnement).</w:t>
      </w:r>
    </w:p>
    <w:p w14:paraId="10000139" w14:textId="77777777">
      <w:pPr>
        <w:pStyle w:val="CommentText"/>
      </w:pPr>
    </w:p>
    <w:p w14:paraId="1000013A" w14:textId="77777777">
      <w:pPr>
        <w:pStyle w:val="CommentText"/>
      </w:pPr>
      <w:r>
        <w:rPr>
          <w:b/>
        </w:rPr>
        <w:t xml:space="preserve">RISQUE 6/17 — Frais de tiers (« frais de continuité ») remboursables sans limite · passage lié</w:t>
      </w:r>
    </w:p>
    <w:p w14:paraId="1000013B" w14:textId="77777777">
      <w:pPr>
        <w:pStyle w:val="CommentText"/>
      </w:pPr>
      <w:r>
        <w:t xml:space="preserve">L’obligation d’adapter le site aux mises à jour des services tiers pendant 24 mois permet de présenter une panne causée par un service tiers comme une défaillance imputable au Prestataire, défaillance qui ouvre la substitution de B.3.</w:t>
      </w:r>
    </w:p>
    <w:p w14:paraId="1000013C" w14:textId="77777777">
      <w:pPr>
        <w:pStyle w:val="CommentText"/>
      </w:pPr>
      <w:r>
        <w:rPr>
          <w:i/>
        </w:rPr>
        <w:t xml:space="preserve">Explication complète : commentaire sur la clause B.3. Autres passages liés : B.3 ; 2.3 ; 5.1 (accès) ; 5.2 (hébergement et services tiers) ; 12.2 ; B.4.</w:t>
      </w:r>
    </w:p>
    <w:p w14:paraId="1000013D" w14:textId="77777777">
      <w:pPr>
        <w:pStyle w:val="CommentText"/>
      </w:pPr>
    </w:p>
    <w:p w14:paraId="1000013E" w14:textId="77777777">
      <w:pPr>
        <w:pStyle w:val="CommentText"/>
      </w:pPr>
      <w:r>
        <w:rPr>
          <w:b/>
        </w:rPr>
        <w:t xml:space="preserve">RISQUE 17/17 — Points secondaires : frais externes · passage lié</w:t>
      </w:r>
    </w:p>
    <w:p w14:paraId="1000013F" w14:textId="77777777">
      <w:pPr>
        <w:pStyle w:val="CommentText"/>
      </w:pPr>
      <w:r>
        <w:t xml:space="preserve">L’accompagnement exclut toute « facturation complémentaire » : des frais externes engagés pendant ces 24 mois risquent de rester à la charge du Prestataire.</w:t>
      </w:r>
    </w:p>
    <w:p w14:paraId="10000140" w14:textId="77777777">
      <w:pPr>
        <w:pStyle w:val="CommentText"/>
      </w:pPr>
      <w:r>
        <w:rPr>
          <w:i/>
        </w:rPr>
        <w:t xml:space="preserve">Explication complète : commentaire sur l’article 7.1 (frais externes). Autres passages liés : 7.1 (frais externes).</w:t>
      </w:r>
    </w:p>
  </w:comment>
  <w:comment w:id="53" w:author="Claude" w:date="2026-09-30T10:28:53Z" w:initials="C">
    <w:p w14:paraId="10000141" w14:textId="77777777">
      <w:pPr>
        <w:pStyle w:val="CommentText"/>
      </w:pPr>
      <w:r>
        <w:rPr>
          <w:rStyle w:val="CommentReference"/>
        </w:rPr>
        <w:annotationRef/>
      </w:r>
      <w:r>
        <w:rPr>
          <w:b/>
        </w:rPr>
        <w:t xml:space="preserve">RISQUE 6/17 — Frais de tiers (« frais de continuité ») remboursables sans limite · gravité : critique</w:t>
      </w:r>
    </w:p>
    <w:p w14:paraId="10000142" w14:textId="77777777">
      <w:pPr>
        <w:pStyle w:val="CommentText"/>
      </w:pPr>
      <w:r>
        <w:t xml:space="preserve">Si une panne bloquante imputable au Prestataire n’est pas corrigée en dix jours ouvrés, le Client peut confier la correction à un tiers, et les frais sont remboursables « sans limitation contractuelle de montant ». Trois articles se combinent : la définition (2.3) exclut ces frais des dommages et intérêts, 12.2 les sort du plafond et B.3 les déclare illimités. Rien ne suspend le délai pendant les congés du Prestataire, ni quand les accès dépendent du Client (B.4, 5.1). Avec B.2 (adaptation aux mises à jour des services tiers pendant 24 mois) et 5.2 (le Prestataire « conseille leur configuration »), une panne causée par un service tiers peut être présentée comme imputable au Prestataire. Le mot « remplacer » (2.3) peut financer une refonte complète. Scénario : congés du 02/08 au 15/08/2027 ; le 02/08, le Client signale un formulaire bloqué après la mise à jour du service anti-robots ; le délai expire le 16/08 ; une agence « remplace » le site pour 16 000 € HT (133 % du prix), réclamables hors plafond. Pendant un retard de livraison, cette substitution peut aussi se cumuler avec les pénalités. Nuance : la panne doit être imputable et empêcher l’usage d’une fonction de l’annexe A ; les frais doivent être « raisonnables et documentés » et le Client « évite toute dépense inutile ». Mais le Client dépense d’abord et réclame ensuite.</w:t>
      </w:r>
    </w:p>
    <w:p w14:paraId="10000143" w14:textId="77777777">
      <w:pPr>
        <w:pStyle w:val="CommentText"/>
      </w:pPr>
      <w:r>
        <w:rPr>
          <w:i/>
        </w:rPr>
        <w:t xml:space="preserve">Passages liés à ce risque (surlignés et commentés) : 2.3 ; 5.1 (accès) ; 5.2 (hébergement et services tiers) ; 12.2 ; B.2 (étendue de l’accompagnement) ; B.4.</w:t>
      </w:r>
    </w:p>
    <w:p w14:paraId="10000144" w14:textId="77777777">
      <w:pPr>
        <w:pStyle w:val="CommentText"/>
      </w:pPr>
    </w:p>
    <w:p w14:paraId="10000145" w14:textId="77777777">
      <w:pPr>
        <w:pStyle w:val="CommentText"/>
      </w:pPr>
      <w:r>
        <w:rPr>
          <w:b/>
        </w:rPr>
        <w:t xml:space="preserve">RISQUE 2/17 — Résiliation pour convenance : site gratuit et acompte à rendre · passage lié</w:t>
      </w:r>
    </w:p>
    <w:p w14:paraId="10000146" w14:textId="77777777">
      <w:pPr>
        <w:pStyle w:val="CommentText"/>
      </w:pPr>
      <w:r>
        <w:t xml:space="preserve">Variante : avant de résilier, le Client peut signaler une « défaillance », laisser passer dix jours ouvrés, faire finir le site par un tiers aux frais du Prestataire, puis résilier (par exemple 3 600 € rendus + 7 000 € de frais de tiers).</w:t>
      </w:r>
    </w:p>
    <w:p w14:paraId="10000147" w14:textId="77777777">
      <w:pPr>
        <w:pStyle w:val="CommentText"/>
      </w:pPr>
      <w:r>
        <w:rPr>
          <w:i/>
        </w:rPr>
        <w:t xml:space="preserve">Explication complète : commentaire sur l’article 14.2. Autres passages liés : 14.2 ; 2.2 (recette définitive) ; 7.1 (prix forfaitaire) ; 7.2 (paiement à 30 jours) ; 9.2 ; 9.3 ; B.1.</w:t>
      </w:r>
    </w:p>
    <w:p w14:paraId="10000148" w14:textId="77777777">
      <w:pPr>
        <w:pStyle w:val="CommentText"/>
      </w:pPr>
    </w:p>
    <w:p w14:paraId="10000149" w14:textId="77777777">
      <w:pPr>
        <w:pStyle w:val="CommentText"/>
      </w:pPr>
      <w:r>
        <w:rPr>
          <w:b/>
        </w:rPr>
        <w:t xml:space="preserve">RISQUE 17/17 — Points secondaires : données personnelles · passage lié</w:t>
      </w:r>
    </w:p>
    <w:p w14:paraId="1000014A" w14:textId="77777777">
      <w:pPr>
        <w:pStyle w:val="CommentText"/>
      </w:pPr>
      <w:r>
        <w:t xml:space="preserve">Le délai de dix jours ouvrés continue de courir même si la correction exige d’abord le cadre écrit sur les données personnelles prévu à 11.2.</w:t>
      </w:r>
    </w:p>
    <w:p w14:paraId="1000014B" w14:textId="77777777">
      <w:pPr>
        <w:pStyle w:val="CommentText"/>
      </w:pPr>
      <w:r>
        <w:rPr>
          <w:i/>
        </w:rPr>
        <w:t xml:space="preserve">Explication complète : commentaire sur l’article 11.2 (données personnelles). Autres passages liés : 11.2 (données personnelles).</w:t>
      </w:r>
    </w:p>
  </w:comment>
  <w:comment w:id="54" w:author="Claude" w:date="2026-09-30T10:28:53Z" w:initials="C">
    <w:p w14:paraId="1000014C" w14:textId="77777777">
      <w:pPr>
        <w:pStyle w:val="CommentText"/>
      </w:pPr>
      <w:r>
        <w:rPr>
          <w:rStyle w:val="CommentReference"/>
        </w:rPr>
        <w:annotationRef/>
      </w:r>
      <w:r>
        <w:rPr>
          <w:b/>
        </w:rPr>
        <w:t xml:space="preserve">RISQUE 6/17 — Frais de tiers (« frais de continuité ») remboursables sans limite · passage lié</w:t>
      </w:r>
    </w:p>
    <w:p w14:paraId="1000014D" w14:textId="77777777">
      <w:pPr>
        <w:pStyle w:val="CommentText"/>
      </w:pPr>
      <w:r>
        <w:t xml:space="preserve">Les comptes restent sous le contrôle du Client : pour corriger dans les dix jours ouvrés de B.3, le Prestataire dépend d’accès que le Client délivre, et rien ne suspend le délai en leur absence.</w:t>
      </w:r>
    </w:p>
    <w:p w14:paraId="1000014E" w14:textId="77777777">
      <w:pPr>
        <w:pStyle w:val="CommentText"/>
      </w:pPr>
      <w:r>
        <w:rPr>
          <w:i/>
        </w:rPr>
        <w:t xml:space="preserve">Explication complète : commentaire sur la clause B.3. Autres passages liés : B.3 ; 2.3 ; 5.1 (accès) ; 5.2 (hébergement et services tiers) ; 12.2 ; B.2 (étendue de l’accompagnement).</w:t>
      </w:r>
    </w:p>
    <w:p w14:paraId="1000014F" w14:textId="77777777">
      <w:pPr>
        <w:pStyle w:val="CommentText"/>
      </w:pPr>
    </w:p>
    <w:p w14:paraId="10000150" w14:textId="77777777">
      <w:pPr>
        <w:pStyle w:val="CommentText"/>
      </w:pPr>
      <w:r>
        <w:rPr>
          <w:b/>
        </w:rPr>
        <w:t xml:space="preserve">RISQUE 10/17 — Contrat sans fin certaine, sans sortie pour le Prestataire · passage lié</w:t>
      </w:r>
    </w:p>
    <w:p w14:paraId="10000151" w14:textId="77777777">
      <w:pPr>
        <w:pStyle w:val="CommentText"/>
      </w:pPr>
      <w:r>
        <w:t xml:space="preserve">Le Client contrôle l’hébergement et le domaine : c’est lui qui décide de la mise en production, donc du point de départ des 24 mois et de la fin du contrat.</w:t>
      </w:r>
    </w:p>
    <w:p w14:paraId="10000152" w14:textId="77777777">
      <w:pPr>
        <w:pStyle w:val="CommentText"/>
      </w:pPr>
      <w:r>
        <w:rPr>
          <w:i/>
        </w:rPr>
        <w:t xml:space="preserve">Explication complète : commentaire sur l’article 14.1. Autres passages liés : 14.1 ; 3.1 (point hebdomadaire) ; 5.2 (hébergement et services tiers) ; 11.1 (confidentialité) ; 12.3 (assurance) ; 13.1 ; 14.2 ; 14.3 ; A.3 ; B.2 (durée de l’accompagnement).</w:t>
      </w:r>
    </w:p>
  </w:comment>
  <w:comment w:id="55" w:author="Claude" w:date="2026-09-30T10:28:53Z" w:initials="C">
    <w:p w14:paraId="10000153" w14:textId="77777777">
      <w:pPr>
        <w:pStyle w:val="CommentText"/>
      </w:pPr>
      <w:r>
        <w:rPr>
          <w:rStyle w:val="CommentReference"/>
        </w:rPr>
        <w:annotationRef/>
      </w:r>
      <w:r>
        <w:rPr>
          <w:b/>
        </w:rPr>
        <w:t xml:space="preserve">RISQUE 17/17 — Points secondaires : clause d’intégralité · passage lié</w:t>
      </w:r>
    </w:p>
    <w:p w14:paraId="10000154" w14:textId="77777777">
      <w:pPr>
        <w:pStyle w:val="CommentText"/>
      </w:pPr>
      <w:r>
        <w:t xml:space="preserve">Avec la clause d’intégralité du préambule, cette mention empêche le Prestataire de plaider la surprise sur l’annexe B.</w:t>
      </w:r>
    </w:p>
    <w:p w14:paraId="10000155" w14:textId="77777777">
      <w:pPr>
        <w:pStyle w:val="CommentText"/>
      </w:pPr>
      <w:r>
        <w:rPr>
          <w:i/>
        </w:rPr>
        <w:t xml:space="preserve">Explication complète : commentaire sur le préambule (accord des parties). Autres passages liés : préambule (accord des parties).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0000003" w15:done="0"/>
  <w15:commentEx w15:paraId="10000006" w15:done="0"/>
  <w15:commentEx w15:paraId="1000000C" w15:done="0"/>
  <w15:commentEx w15:paraId="1000000F" w15:done="0"/>
  <w15:commentEx w15:paraId="10000012" w15:done="0"/>
  <w15:commentEx w15:paraId="10000015" w15:done="0"/>
  <w15:commentEx w15:paraId="1000001C" w15:done="0"/>
  <w15:commentEx w15:paraId="10000027" w15:done="0"/>
  <w15:commentEx w15:paraId="1000002E" w15:done="0"/>
  <w15:commentEx w15:paraId="10000035" w15:done="0"/>
  <w15:commentEx w15:paraId="10000038" w15:done="0"/>
  <w15:commentEx w15:paraId="10000043" w15:done="0"/>
  <w15:commentEx w15:paraId="10000046" w15:done="0"/>
  <w15:commentEx w15:paraId="10000049" w15:done="0"/>
  <w15:commentEx w15:paraId="1000004C" w15:done="0"/>
  <w15:commentEx w15:paraId="1000004F" w15:done="0"/>
  <w15:commentEx w15:paraId="10000052" w15:done="0"/>
  <w15:commentEx w15:paraId="10000055" w15:done="0"/>
  <w15:commentEx w15:paraId="10000060" w15:done="0"/>
  <w15:commentEx w15:paraId="10000063" w15:done="0"/>
  <w15:commentEx w15:paraId="1000006A" w15:done="0"/>
  <w15:commentEx w15:paraId="1000006D" w15:done="0"/>
  <w15:commentEx w15:paraId="10000070" w15:done="0"/>
  <w15:commentEx w15:paraId="10000073" w15:done="0"/>
  <w15:commentEx w15:paraId="10000076" w15:done="0"/>
  <w15:commentEx w15:paraId="1000007D" w15:done="0"/>
  <w15:commentEx w15:paraId="10000084" w15:done="0"/>
  <w15:commentEx w15:paraId="10000087" w15:done="0"/>
  <w15:commentEx w15:paraId="1000008E" w15:done="0"/>
  <w15:commentEx w15:paraId="1000009D" w15:done="0"/>
  <w15:commentEx w15:paraId="100000A0" w15:done="0"/>
  <w15:commentEx w15:paraId="100000A3" w15:done="0"/>
  <w15:commentEx w15:paraId="100000AE" w15:done="0"/>
  <w15:commentEx w15:paraId="100000B9" w15:done="0"/>
  <w15:commentEx w15:paraId="100000BC" w15:done="0"/>
  <w15:commentEx w15:paraId="100000C3" w15:done="0"/>
  <w15:commentEx w15:paraId="100000C6" w15:done="0"/>
  <w15:commentEx w15:paraId="100000C9" w15:done="0"/>
  <w15:commentEx w15:paraId="100000D0" w15:done="0"/>
  <w15:commentEx w15:paraId="100000DB" w15:done="0"/>
  <w15:commentEx w15:paraId="100000E1" w15:done="0"/>
  <w15:commentEx w15:paraId="100000E8" w15:done="0"/>
  <w15:commentEx w15:paraId="100000F2" w15:done="0"/>
  <w15:commentEx w15:paraId="100000F9" w15:done="0"/>
  <w15:commentEx w15:paraId="10000100" w15:done="0"/>
  <w15:commentEx w15:paraId="10000103" w15:done="0"/>
  <w15:commentEx w15:paraId="10000106" w15:done="0"/>
  <w15:commentEx w15:paraId="10000109" w15:done="0"/>
  <w15:commentEx w15:paraId="10000110" w15:done="0"/>
  <w15:commentEx w15:paraId="1000011F" w15:done="0"/>
  <w15:commentEx w15:paraId="10000126" w15:done="0"/>
  <w15:commentEx w15:paraId="10000135" w15:done="0"/>
  <w15:commentEx w15:paraId="10000140" w15:done="0"/>
  <w15:commentEx w15:paraId="1000014B" w15:done="0"/>
  <w15:commentEx w15:paraId="10000152" w15:done="0"/>
  <w15:commentEx w15:paraId="100001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20000001" w16cex:dateUtc="2026-09-30T10:28:53Z"/>
  <w16cex:commentExtensible w16cex:durableId="20000002" w16cex:dateUtc="2026-09-30T10:28:53Z"/>
  <w16cex:commentExtensible w16cex:durableId="20000003" w16cex:dateUtc="2026-09-30T10:28:53Z"/>
  <w16cex:commentExtensible w16cex:durableId="20000004" w16cex:dateUtc="2026-09-30T10:28:53Z"/>
  <w16cex:commentExtensible w16cex:durableId="20000005" w16cex:dateUtc="2026-09-30T10:28:53Z"/>
  <w16cex:commentExtensible w16cex:durableId="20000006" w16cex:dateUtc="2026-09-30T10:28:53Z"/>
  <w16cex:commentExtensible w16cex:durableId="20000007" w16cex:dateUtc="2026-09-30T10:28:53Z"/>
  <w16cex:commentExtensible w16cex:durableId="20000008" w16cex:dateUtc="2026-09-30T10:28:53Z"/>
  <w16cex:commentExtensible w16cex:durableId="20000009" w16cex:dateUtc="2026-09-30T10:28:53Z"/>
  <w16cex:commentExtensible w16cex:durableId="2000000A" w16cex:dateUtc="2026-09-30T10:28:53Z"/>
  <w16cex:commentExtensible w16cex:durableId="2000000B" w16cex:dateUtc="2026-09-30T10:28:53Z"/>
  <w16cex:commentExtensible w16cex:durableId="2000000C" w16cex:dateUtc="2026-09-30T10:28:53Z"/>
  <w16cex:commentExtensible w16cex:durableId="2000000D" w16cex:dateUtc="2026-09-30T10:28:53Z"/>
  <w16cex:commentExtensible w16cex:durableId="2000000E" w16cex:dateUtc="2026-09-30T10:28:53Z"/>
  <w16cex:commentExtensible w16cex:durableId="2000000F" w16cex:dateUtc="2026-09-30T10:28:53Z"/>
  <w16cex:commentExtensible w16cex:durableId="20000010" w16cex:dateUtc="2026-09-30T10:28:53Z"/>
  <w16cex:commentExtensible w16cex:durableId="20000011" w16cex:dateUtc="2026-09-30T10:28:53Z"/>
  <w16cex:commentExtensible w16cex:durableId="20000012" w16cex:dateUtc="2026-09-30T10:28:53Z"/>
  <w16cex:commentExtensible w16cex:durableId="20000013" w16cex:dateUtc="2026-09-30T10:28:53Z"/>
  <w16cex:commentExtensible w16cex:durableId="20000014" w16cex:dateUtc="2026-09-30T10:28:53Z"/>
  <w16cex:commentExtensible w16cex:durableId="20000015" w16cex:dateUtc="2026-09-30T10:28:53Z"/>
  <w16cex:commentExtensible w16cex:durableId="20000016" w16cex:dateUtc="2026-09-30T10:28:53Z"/>
  <w16cex:commentExtensible w16cex:durableId="20000017" w16cex:dateUtc="2026-09-30T10:28:53Z"/>
  <w16cex:commentExtensible w16cex:durableId="20000018" w16cex:dateUtc="2026-09-30T10:28:53Z"/>
  <w16cex:commentExtensible w16cex:durableId="20000019" w16cex:dateUtc="2026-09-30T10:28:53Z"/>
  <w16cex:commentExtensible w16cex:durableId="2000001A" w16cex:dateUtc="2026-09-30T10:28:53Z"/>
  <w16cex:commentExtensible w16cex:durableId="2000001B" w16cex:dateUtc="2026-09-30T10:28:53Z"/>
  <w16cex:commentExtensible w16cex:durableId="2000001C" w16cex:dateUtc="2026-09-30T10:28:53Z"/>
  <w16cex:commentExtensible w16cex:durableId="2000001D" w16cex:dateUtc="2026-09-30T10:28:53Z"/>
  <w16cex:commentExtensible w16cex:durableId="2000001E" w16cex:dateUtc="2026-09-30T10:28:53Z"/>
  <w16cex:commentExtensible w16cex:durableId="2000001F" w16cex:dateUtc="2026-09-30T10:28:53Z"/>
  <w16cex:commentExtensible w16cex:durableId="20000020" w16cex:dateUtc="2026-09-30T10:28:53Z"/>
  <w16cex:commentExtensible w16cex:durableId="20000021" w16cex:dateUtc="2026-09-30T10:28:53Z"/>
  <w16cex:commentExtensible w16cex:durableId="20000022" w16cex:dateUtc="2026-09-30T10:28:53Z"/>
  <w16cex:commentExtensible w16cex:durableId="20000023" w16cex:dateUtc="2026-09-30T10:28:53Z"/>
  <w16cex:commentExtensible w16cex:durableId="20000024" w16cex:dateUtc="2026-09-30T10:28:53Z"/>
  <w16cex:commentExtensible w16cex:durableId="20000025" w16cex:dateUtc="2026-09-30T10:28:53Z"/>
  <w16cex:commentExtensible w16cex:durableId="20000026" w16cex:dateUtc="2026-09-30T10:28:53Z"/>
  <w16cex:commentExtensible w16cex:durableId="20000027" w16cex:dateUtc="2026-09-30T10:28:53Z"/>
  <w16cex:commentExtensible w16cex:durableId="20000028" w16cex:dateUtc="2026-09-30T10:28:53Z"/>
  <w16cex:commentExtensible w16cex:durableId="20000029" w16cex:dateUtc="2026-09-30T10:28:53Z"/>
  <w16cex:commentExtensible w16cex:durableId="2000002A" w16cex:dateUtc="2026-09-30T10:28:53Z"/>
  <w16cex:commentExtensible w16cex:durableId="2000002B" w16cex:dateUtc="2026-09-30T10:28:53Z"/>
  <w16cex:commentExtensible w16cex:durableId="2000002C" w16cex:dateUtc="2026-09-30T10:28:53Z"/>
  <w16cex:commentExtensible w16cex:durableId="2000002D" w16cex:dateUtc="2026-09-30T10:28:53Z"/>
  <w16cex:commentExtensible w16cex:durableId="2000002E" w16cex:dateUtc="2026-09-30T10:28:53Z"/>
  <w16cex:commentExtensible w16cex:durableId="2000002F" w16cex:dateUtc="2026-09-30T10:28:53Z"/>
  <w16cex:commentExtensible w16cex:durableId="20000030" w16cex:dateUtc="2026-09-30T10:28:53Z"/>
  <w16cex:commentExtensible w16cex:durableId="20000031" w16cex:dateUtc="2026-09-30T10:28:53Z"/>
  <w16cex:commentExtensible w16cex:durableId="20000032" w16cex:dateUtc="2026-09-30T10:28:53Z"/>
  <w16cex:commentExtensible w16cex:durableId="20000033" w16cex:dateUtc="2026-09-30T10:28:53Z"/>
  <w16cex:commentExtensible w16cex:durableId="20000034" w16cex:dateUtc="2026-09-30T10:28:53Z"/>
  <w16cex:commentExtensible w16cex:durableId="20000035" w16cex:dateUtc="2026-09-30T10:28:53Z"/>
  <w16cex:commentExtensible w16cex:durableId="20000036" w16cex:dateUtc="2026-09-30T10:28:53Z"/>
  <w16cex:commentExtensible w16cex:durableId="20000037" w16cex:dateUtc="2026-09-30T10:28:53Z"/>
  <w16cex:commentExtensible w16cex:durableId="20000038" w16cex:dateUtc="2026-09-30T10:28:53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0000003" w16cid:durableId="20000001"/>
  <w16cid:commentId w16cid:paraId="10000006" w16cid:durableId="20000002"/>
  <w16cid:commentId w16cid:paraId="1000000C" w16cid:durableId="20000003"/>
  <w16cid:commentId w16cid:paraId="1000000F" w16cid:durableId="20000004"/>
  <w16cid:commentId w16cid:paraId="10000012" w16cid:durableId="20000005"/>
  <w16cid:commentId w16cid:paraId="10000015" w16cid:durableId="20000006"/>
  <w16cid:commentId w16cid:paraId="1000001C" w16cid:durableId="20000007"/>
  <w16cid:commentId w16cid:paraId="10000027" w16cid:durableId="20000008"/>
  <w16cid:commentId w16cid:paraId="1000002E" w16cid:durableId="20000009"/>
  <w16cid:commentId w16cid:paraId="10000035" w16cid:durableId="2000000A"/>
  <w16cid:commentId w16cid:paraId="10000038" w16cid:durableId="2000000B"/>
  <w16cid:commentId w16cid:paraId="10000043" w16cid:durableId="2000000C"/>
  <w16cid:commentId w16cid:paraId="10000046" w16cid:durableId="2000000D"/>
  <w16cid:commentId w16cid:paraId="10000049" w16cid:durableId="2000000E"/>
  <w16cid:commentId w16cid:paraId="1000004C" w16cid:durableId="2000000F"/>
  <w16cid:commentId w16cid:paraId="1000004F" w16cid:durableId="20000010"/>
  <w16cid:commentId w16cid:paraId="10000052" w16cid:durableId="20000011"/>
  <w16cid:commentId w16cid:paraId="10000055" w16cid:durableId="20000012"/>
  <w16cid:commentId w16cid:paraId="10000060" w16cid:durableId="20000013"/>
  <w16cid:commentId w16cid:paraId="10000063" w16cid:durableId="20000014"/>
  <w16cid:commentId w16cid:paraId="1000006A" w16cid:durableId="20000015"/>
  <w16cid:commentId w16cid:paraId="1000006D" w16cid:durableId="20000016"/>
  <w16cid:commentId w16cid:paraId="10000070" w16cid:durableId="20000017"/>
  <w16cid:commentId w16cid:paraId="10000073" w16cid:durableId="20000018"/>
  <w16cid:commentId w16cid:paraId="10000076" w16cid:durableId="20000019"/>
  <w16cid:commentId w16cid:paraId="1000007D" w16cid:durableId="2000001A"/>
  <w16cid:commentId w16cid:paraId="10000084" w16cid:durableId="2000001B"/>
  <w16cid:commentId w16cid:paraId="10000087" w16cid:durableId="2000001C"/>
  <w16cid:commentId w16cid:paraId="1000008E" w16cid:durableId="2000001D"/>
  <w16cid:commentId w16cid:paraId="1000009D" w16cid:durableId="2000001E"/>
  <w16cid:commentId w16cid:paraId="100000A0" w16cid:durableId="2000001F"/>
  <w16cid:commentId w16cid:paraId="100000A3" w16cid:durableId="20000020"/>
  <w16cid:commentId w16cid:paraId="100000AE" w16cid:durableId="20000021"/>
  <w16cid:commentId w16cid:paraId="100000B9" w16cid:durableId="20000022"/>
  <w16cid:commentId w16cid:paraId="100000BC" w16cid:durableId="20000023"/>
  <w16cid:commentId w16cid:paraId="100000C3" w16cid:durableId="20000024"/>
  <w16cid:commentId w16cid:paraId="100000C6" w16cid:durableId="20000025"/>
  <w16cid:commentId w16cid:paraId="100000C9" w16cid:durableId="20000026"/>
  <w16cid:commentId w16cid:paraId="100000D0" w16cid:durableId="20000027"/>
  <w16cid:commentId w16cid:paraId="100000DB" w16cid:durableId="20000028"/>
  <w16cid:commentId w16cid:paraId="100000E1" w16cid:durableId="20000029"/>
  <w16cid:commentId w16cid:paraId="100000E8" w16cid:durableId="2000002A"/>
  <w16cid:commentId w16cid:paraId="100000F2" w16cid:durableId="2000002B"/>
  <w16cid:commentId w16cid:paraId="100000F9" w16cid:durableId="2000002C"/>
  <w16cid:commentId w16cid:paraId="10000100" w16cid:durableId="2000002D"/>
  <w16cid:commentId w16cid:paraId="10000103" w16cid:durableId="2000002E"/>
  <w16cid:commentId w16cid:paraId="10000106" w16cid:durableId="2000002F"/>
  <w16cid:commentId w16cid:paraId="10000109" w16cid:durableId="20000030"/>
  <w16cid:commentId w16cid:paraId="10000110" w16cid:durableId="20000031"/>
  <w16cid:commentId w16cid:paraId="1000011F" w16cid:durableId="20000032"/>
  <w16cid:commentId w16cid:paraId="10000126" w16cid:durableId="20000033"/>
  <w16cid:commentId w16cid:paraId="10000135" w16cid:durableId="20000034"/>
  <w16cid:commentId w16cid:paraId="10000140" w16cid:durableId="20000035"/>
  <w16cid:commentId w16cid:paraId="1000014B" w16cid:durableId="20000036"/>
  <w16cid:commentId w16cid:paraId="10000152" w16cid:durableId="20000037"/>
  <w16cid:commentId w16cid:paraId="10000155" w16cid:durableId="2000003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 Id="rId12" Type="http://schemas.microsoft.com/office/2011/relationships/commentsExtended" Target="commentsExtended.xml"/><Relationship Id="rId13" Type="http://schemas.microsoft.com/office/2016/09/relationships/commentsIds" Target="commentsId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